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623"/>
        <w:gridCol w:w="2161"/>
        <w:gridCol w:w="2176"/>
        <w:gridCol w:w="2156"/>
      </w:tblGrid>
      <w:tr w:rsidR="008D0EDF" w:rsidRPr="00875D17" w14:paraId="715F2EE8" w14:textId="77777777" w:rsidTr="003C3C53">
        <w:tc>
          <w:tcPr>
            <w:tcW w:w="2214" w:type="dxa"/>
            <w:gridSpan w:val="2"/>
            <w:tcBorders>
              <w:top w:val="single" w:sz="4" w:space="0" w:color="auto"/>
              <w:left w:val="single" w:sz="4" w:space="0" w:color="auto"/>
              <w:bottom w:val="nil"/>
              <w:right w:val="nil"/>
            </w:tcBorders>
            <w:shd w:val="clear" w:color="auto" w:fill="auto"/>
          </w:tcPr>
          <w:p w14:paraId="6C5870EB" w14:textId="77777777" w:rsidR="008D0EDF" w:rsidRPr="00875D17" w:rsidRDefault="008D0EDF" w:rsidP="00875D17">
            <w:pPr>
              <w:spacing w:before="100" w:beforeAutospacing="1" w:after="100" w:afterAutospacing="1"/>
              <w:rPr>
                <w:rFonts w:cs="Arial"/>
              </w:rPr>
            </w:pPr>
            <w:bookmarkStart w:id="0" w:name="_GoBack"/>
            <w:bookmarkEnd w:id="0"/>
            <w:r w:rsidRPr="00875D17">
              <w:rPr>
                <w:rFonts w:cs="Arial"/>
              </w:rPr>
              <w:t>Section</w:t>
            </w:r>
            <w:r w:rsidR="0070640F" w:rsidRPr="00875D17">
              <w:rPr>
                <w:rFonts w:cs="Arial"/>
              </w:rPr>
              <w:t xml:space="preserve"> 3</w:t>
            </w:r>
          </w:p>
        </w:tc>
        <w:tc>
          <w:tcPr>
            <w:tcW w:w="2214" w:type="dxa"/>
            <w:tcBorders>
              <w:top w:val="single" w:sz="4" w:space="0" w:color="auto"/>
              <w:left w:val="nil"/>
              <w:bottom w:val="nil"/>
              <w:right w:val="nil"/>
            </w:tcBorders>
            <w:shd w:val="clear" w:color="auto" w:fill="auto"/>
          </w:tcPr>
          <w:p w14:paraId="17F0CB8E" w14:textId="77777777" w:rsidR="0070640F" w:rsidRPr="00875D17" w:rsidRDefault="0070640F" w:rsidP="00875D17">
            <w:pPr>
              <w:autoSpaceDE w:val="0"/>
              <w:autoSpaceDN w:val="0"/>
              <w:adjustRightInd w:val="0"/>
              <w:rPr>
                <w:rFonts w:cs="Arial"/>
              </w:rPr>
            </w:pPr>
            <w:r w:rsidRPr="00875D17">
              <w:rPr>
                <w:rFonts w:cs="Arial"/>
              </w:rPr>
              <w:t>Evaluation and</w:t>
            </w:r>
          </w:p>
          <w:p w14:paraId="0BBDB485" w14:textId="77777777" w:rsidR="008D0EDF" w:rsidRPr="00875D17" w:rsidRDefault="0070640F" w:rsidP="00875D17">
            <w:pPr>
              <w:autoSpaceDE w:val="0"/>
              <w:autoSpaceDN w:val="0"/>
              <w:adjustRightInd w:val="0"/>
              <w:rPr>
                <w:rFonts w:cs="Arial"/>
              </w:rPr>
            </w:pPr>
            <w:r w:rsidRPr="00875D17">
              <w:rPr>
                <w:rFonts w:cs="Arial"/>
              </w:rPr>
              <w:t>Assessment Processes</w:t>
            </w:r>
          </w:p>
        </w:tc>
        <w:tc>
          <w:tcPr>
            <w:tcW w:w="2214" w:type="dxa"/>
            <w:tcBorders>
              <w:left w:val="nil"/>
              <w:bottom w:val="nil"/>
              <w:right w:val="nil"/>
            </w:tcBorders>
            <w:shd w:val="clear" w:color="auto" w:fill="auto"/>
          </w:tcPr>
          <w:p w14:paraId="07C3130F" w14:textId="77777777" w:rsidR="008D0EDF" w:rsidRPr="00875D17" w:rsidRDefault="008D0EDF" w:rsidP="00875D17">
            <w:pPr>
              <w:spacing w:before="100" w:beforeAutospacing="1" w:after="100" w:afterAutospacing="1"/>
              <w:rPr>
                <w:rFonts w:cs="Arial"/>
              </w:rPr>
            </w:pPr>
            <w:r w:rsidRPr="00875D17">
              <w:rPr>
                <w:rFonts w:cs="Arial"/>
              </w:rPr>
              <w:t>Effective:</w:t>
            </w:r>
          </w:p>
        </w:tc>
        <w:tc>
          <w:tcPr>
            <w:tcW w:w="2214" w:type="dxa"/>
            <w:tcBorders>
              <w:left w:val="nil"/>
              <w:bottom w:val="nil"/>
            </w:tcBorders>
            <w:shd w:val="clear" w:color="auto" w:fill="auto"/>
          </w:tcPr>
          <w:p w14:paraId="61BED787" w14:textId="77777777" w:rsidR="008D0EDF" w:rsidRPr="00875D17" w:rsidRDefault="007521AE" w:rsidP="00875D17">
            <w:pPr>
              <w:spacing w:before="100" w:beforeAutospacing="1" w:after="100" w:afterAutospacing="1"/>
              <w:rPr>
                <w:rFonts w:cs="Arial"/>
              </w:rPr>
            </w:pPr>
            <w:r>
              <w:rPr>
                <w:rFonts w:cs="Arial"/>
              </w:rPr>
              <w:t>July 2012</w:t>
            </w:r>
          </w:p>
        </w:tc>
      </w:tr>
      <w:tr w:rsidR="008D0EDF" w:rsidRPr="00875D17" w14:paraId="6BA2958A" w14:textId="77777777" w:rsidTr="003C3C53">
        <w:tc>
          <w:tcPr>
            <w:tcW w:w="2214" w:type="dxa"/>
            <w:gridSpan w:val="2"/>
            <w:tcBorders>
              <w:top w:val="nil"/>
              <w:left w:val="single" w:sz="4" w:space="0" w:color="auto"/>
              <w:bottom w:val="nil"/>
              <w:right w:val="nil"/>
            </w:tcBorders>
            <w:shd w:val="clear" w:color="auto" w:fill="auto"/>
          </w:tcPr>
          <w:p w14:paraId="6B976474" w14:textId="77777777" w:rsidR="008D0EDF" w:rsidRPr="00875D17" w:rsidRDefault="008D0EDF" w:rsidP="00875D17">
            <w:pPr>
              <w:spacing w:before="100" w:beforeAutospacing="1" w:after="100" w:afterAutospacing="1"/>
              <w:rPr>
                <w:rFonts w:cs="Arial"/>
              </w:rPr>
            </w:pPr>
            <w:r w:rsidRPr="00875D17">
              <w:rPr>
                <w:rFonts w:cs="Arial"/>
              </w:rPr>
              <w:t>Policy</w:t>
            </w:r>
            <w:r w:rsidR="0070640F" w:rsidRPr="00875D17">
              <w:rPr>
                <w:rFonts w:cs="Arial"/>
              </w:rPr>
              <w:t xml:space="preserve"> 3.6</w:t>
            </w:r>
            <w:r w:rsidR="005C6661">
              <w:rPr>
                <w:rFonts w:cs="Arial"/>
              </w:rPr>
              <w:t>.</w:t>
            </w:r>
          </w:p>
        </w:tc>
        <w:tc>
          <w:tcPr>
            <w:tcW w:w="2214" w:type="dxa"/>
            <w:tcBorders>
              <w:top w:val="nil"/>
              <w:left w:val="nil"/>
              <w:bottom w:val="nil"/>
              <w:right w:val="nil"/>
            </w:tcBorders>
            <w:shd w:val="clear" w:color="auto" w:fill="auto"/>
          </w:tcPr>
          <w:p w14:paraId="29F59ED1" w14:textId="77777777" w:rsidR="008D0EDF" w:rsidRPr="00875D17" w:rsidRDefault="005C6661" w:rsidP="00875D17">
            <w:pPr>
              <w:spacing w:before="100" w:beforeAutospacing="1" w:after="100" w:afterAutospacing="1"/>
              <w:rPr>
                <w:rFonts w:cs="Arial"/>
              </w:rPr>
            </w:pPr>
            <w:r>
              <w:rPr>
                <w:rFonts w:cs="Arial"/>
              </w:rPr>
              <w:t xml:space="preserve">Policy on </w:t>
            </w:r>
            <w:r w:rsidR="0070640F" w:rsidRPr="00875D17">
              <w:rPr>
                <w:rFonts w:cs="Arial"/>
              </w:rPr>
              <w:t>Resident Concerns</w:t>
            </w:r>
          </w:p>
        </w:tc>
        <w:tc>
          <w:tcPr>
            <w:tcW w:w="2214" w:type="dxa"/>
            <w:tcBorders>
              <w:top w:val="nil"/>
              <w:left w:val="nil"/>
              <w:bottom w:val="nil"/>
              <w:right w:val="nil"/>
            </w:tcBorders>
            <w:shd w:val="clear" w:color="auto" w:fill="auto"/>
          </w:tcPr>
          <w:p w14:paraId="4EDA8853" w14:textId="77777777" w:rsidR="008D0EDF" w:rsidRPr="00875D17" w:rsidRDefault="008D0EDF" w:rsidP="00875D17">
            <w:pPr>
              <w:spacing w:before="100" w:beforeAutospacing="1" w:after="100" w:afterAutospacing="1"/>
              <w:rPr>
                <w:rFonts w:cs="Arial"/>
              </w:rPr>
            </w:pPr>
            <w:r w:rsidRPr="00875D17">
              <w:rPr>
                <w:rFonts w:cs="Arial"/>
              </w:rPr>
              <w:t>Revised:</w:t>
            </w:r>
          </w:p>
        </w:tc>
        <w:tc>
          <w:tcPr>
            <w:tcW w:w="2214" w:type="dxa"/>
            <w:tcBorders>
              <w:top w:val="nil"/>
              <w:left w:val="nil"/>
              <w:bottom w:val="nil"/>
            </w:tcBorders>
            <w:shd w:val="clear" w:color="auto" w:fill="auto"/>
          </w:tcPr>
          <w:p w14:paraId="30ACAE2C" w14:textId="77777777" w:rsidR="008D0EDF" w:rsidRPr="00875D17" w:rsidRDefault="002C5B32" w:rsidP="00875D17">
            <w:pPr>
              <w:spacing w:before="100" w:beforeAutospacing="1" w:after="100" w:afterAutospacing="1"/>
              <w:rPr>
                <w:rFonts w:cs="Arial"/>
              </w:rPr>
            </w:pPr>
            <w:r>
              <w:rPr>
                <w:rFonts w:cs="Arial"/>
              </w:rPr>
              <w:t>January 2019</w:t>
            </w:r>
          </w:p>
        </w:tc>
      </w:tr>
      <w:tr w:rsidR="008D0EDF" w:rsidRPr="00875D17" w14:paraId="1FBB2295" w14:textId="77777777" w:rsidTr="003C3C53">
        <w:tc>
          <w:tcPr>
            <w:tcW w:w="2214" w:type="dxa"/>
            <w:gridSpan w:val="2"/>
            <w:tcBorders>
              <w:top w:val="nil"/>
              <w:left w:val="single" w:sz="4" w:space="0" w:color="auto"/>
              <w:bottom w:val="single" w:sz="4" w:space="0" w:color="auto"/>
              <w:right w:val="nil"/>
            </w:tcBorders>
            <w:shd w:val="clear" w:color="auto" w:fill="auto"/>
          </w:tcPr>
          <w:p w14:paraId="574FBAE1" w14:textId="77777777" w:rsidR="008D0EDF" w:rsidRPr="00875D17" w:rsidRDefault="008D0EDF" w:rsidP="00875D17">
            <w:pPr>
              <w:spacing w:before="100" w:beforeAutospacing="1" w:after="100" w:afterAutospacing="1"/>
              <w:rPr>
                <w:rFonts w:cs="Arial"/>
              </w:rPr>
            </w:pPr>
          </w:p>
        </w:tc>
        <w:tc>
          <w:tcPr>
            <w:tcW w:w="2214" w:type="dxa"/>
            <w:tcBorders>
              <w:top w:val="nil"/>
              <w:left w:val="nil"/>
              <w:bottom w:val="single" w:sz="4" w:space="0" w:color="auto"/>
              <w:right w:val="nil"/>
            </w:tcBorders>
            <w:shd w:val="clear" w:color="auto" w:fill="auto"/>
          </w:tcPr>
          <w:p w14:paraId="28C12B5F" w14:textId="77777777" w:rsidR="008D0EDF" w:rsidRPr="00875D17" w:rsidRDefault="008D0EDF" w:rsidP="00875D17">
            <w:pPr>
              <w:spacing w:before="100" w:beforeAutospacing="1" w:after="100" w:afterAutospacing="1"/>
              <w:rPr>
                <w:rFonts w:cs="Arial"/>
              </w:rPr>
            </w:pPr>
          </w:p>
        </w:tc>
        <w:tc>
          <w:tcPr>
            <w:tcW w:w="2214" w:type="dxa"/>
            <w:tcBorders>
              <w:top w:val="nil"/>
              <w:left w:val="nil"/>
              <w:right w:val="nil"/>
            </w:tcBorders>
            <w:shd w:val="clear" w:color="auto" w:fill="auto"/>
          </w:tcPr>
          <w:p w14:paraId="15A9A8FE" w14:textId="77777777" w:rsidR="008D0EDF" w:rsidRPr="00875D17" w:rsidRDefault="008D0EDF" w:rsidP="00875D17">
            <w:pPr>
              <w:spacing w:before="100" w:beforeAutospacing="1" w:after="100" w:afterAutospacing="1"/>
              <w:rPr>
                <w:rFonts w:cs="Arial"/>
              </w:rPr>
            </w:pPr>
            <w:r w:rsidRPr="00875D17">
              <w:rPr>
                <w:rFonts w:cs="Arial"/>
              </w:rPr>
              <w:t>Responsibility:</w:t>
            </w:r>
          </w:p>
        </w:tc>
        <w:tc>
          <w:tcPr>
            <w:tcW w:w="2214" w:type="dxa"/>
            <w:tcBorders>
              <w:top w:val="nil"/>
              <w:left w:val="nil"/>
            </w:tcBorders>
            <w:shd w:val="clear" w:color="auto" w:fill="auto"/>
          </w:tcPr>
          <w:p w14:paraId="28C4C4B5" w14:textId="77777777" w:rsidR="008D0EDF" w:rsidRPr="00875D17" w:rsidRDefault="0070640F" w:rsidP="00875D17">
            <w:pPr>
              <w:spacing w:before="100" w:beforeAutospacing="1" w:after="100" w:afterAutospacing="1"/>
              <w:rPr>
                <w:rFonts w:cs="Arial"/>
              </w:rPr>
            </w:pPr>
            <w:r w:rsidRPr="00875D17">
              <w:rPr>
                <w:rFonts w:cs="Arial"/>
              </w:rPr>
              <w:t>Designated Institutional Official</w:t>
            </w:r>
          </w:p>
        </w:tc>
      </w:tr>
      <w:tr w:rsidR="00613A3D" w:rsidRPr="00875D17" w14:paraId="4821048D" w14:textId="77777777" w:rsidTr="00875D17">
        <w:tc>
          <w:tcPr>
            <w:tcW w:w="8856" w:type="dxa"/>
            <w:gridSpan w:val="5"/>
            <w:tcBorders>
              <w:bottom w:val="single" w:sz="4" w:space="0" w:color="auto"/>
            </w:tcBorders>
            <w:shd w:val="clear" w:color="auto" w:fill="auto"/>
          </w:tcPr>
          <w:p w14:paraId="692A64E6" w14:textId="77777777" w:rsidR="00613A3D" w:rsidRPr="00875D17" w:rsidRDefault="00613A3D" w:rsidP="00875D17">
            <w:pPr>
              <w:jc w:val="center"/>
              <w:rPr>
                <w:rFonts w:cs="Arial"/>
              </w:rPr>
            </w:pPr>
          </w:p>
          <w:p w14:paraId="1A6DC34B" w14:textId="77777777" w:rsidR="00632772" w:rsidRPr="00875D17" w:rsidRDefault="0070640F" w:rsidP="00875D17">
            <w:pPr>
              <w:jc w:val="center"/>
              <w:rPr>
                <w:rFonts w:cs="Arial"/>
                <w:b/>
              </w:rPr>
            </w:pPr>
            <w:r w:rsidRPr="00875D17">
              <w:rPr>
                <w:rFonts w:cs="Arial"/>
                <w:b/>
              </w:rPr>
              <w:t>Policy on Resident Concerns</w:t>
            </w:r>
          </w:p>
          <w:p w14:paraId="7FE9D1C2" w14:textId="77777777" w:rsidR="00613A3D" w:rsidRPr="00875D17" w:rsidRDefault="00613A3D" w:rsidP="00613A3D">
            <w:pPr>
              <w:rPr>
                <w:rFonts w:cs="Arial"/>
              </w:rPr>
            </w:pPr>
          </w:p>
        </w:tc>
      </w:tr>
      <w:tr w:rsidR="00FD7C79" w:rsidRPr="00875D17" w14:paraId="15BABCD1" w14:textId="77777777" w:rsidTr="00875D17">
        <w:tc>
          <w:tcPr>
            <w:tcW w:w="1548" w:type="dxa"/>
            <w:tcBorders>
              <w:right w:val="nil"/>
            </w:tcBorders>
            <w:shd w:val="clear" w:color="auto" w:fill="auto"/>
          </w:tcPr>
          <w:p w14:paraId="35B85F7A" w14:textId="77777777" w:rsidR="00FD7C79" w:rsidRPr="00875D17" w:rsidRDefault="00FD7C79">
            <w:pPr>
              <w:rPr>
                <w:rFonts w:cs="Arial"/>
              </w:rPr>
            </w:pPr>
            <w:r w:rsidRPr="00875D17">
              <w:rPr>
                <w:rFonts w:cs="Arial"/>
              </w:rPr>
              <w:t>Purpose</w:t>
            </w:r>
          </w:p>
        </w:tc>
        <w:tc>
          <w:tcPr>
            <w:tcW w:w="7308" w:type="dxa"/>
            <w:gridSpan w:val="4"/>
            <w:tcBorders>
              <w:left w:val="nil"/>
            </w:tcBorders>
            <w:shd w:val="clear" w:color="auto" w:fill="auto"/>
          </w:tcPr>
          <w:p w14:paraId="7D33A561" w14:textId="77777777" w:rsidR="00FD7C79" w:rsidRPr="00875D17" w:rsidRDefault="0070640F" w:rsidP="00875D17">
            <w:pPr>
              <w:jc w:val="both"/>
              <w:rPr>
                <w:rFonts w:cs="Arial"/>
              </w:rPr>
            </w:pPr>
            <w:r w:rsidRPr="00875D17">
              <w:rPr>
                <w:rFonts w:cs="Arial"/>
              </w:rPr>
              <w:t>The purpose of this policy is to confirm the commitment of both residents and faculty to education and training that upholds the highest standards of professional and ethical behavior.  Residents and faculty agree to work in good faith to resolve any problems or potential deviations from optimal training.</w:t>
            </w:r>
          </w:p>
          <w:p w14:paraId="415C872E" w14:textId="77777777" w:rsidR="0070640F" w:rsidRPr="00875D17" w:rsidRDefault="0070640F" w:rsidP="00875D17">
            <w:pPr>
              <w:jc w:val="both"/>
              <w:rPr>
                <w:rFonts w:cs="Arial"/>
              </w:rPr>
            </w:pPr>
          </w:p>
        </w:tc>
      </w:tr>
      <w:tr w:rsidR="00FD7C79" w:rsidRPr="00875D17" w14:paraId="399DBB40" w14:textId="77777777" w:rsidTr="00875D17">
        <w:tc>
          <w:tcPr>
            <w:tcW w:w="1548" w:type="dxa"/>
            <w:tcBorders>
              <w:right w:val="nil"/>
            </w:tcBorders>
            <w:shd w:val="clear" w:color="auto" w:fill="auto"/>
          </w:tcPr>
          <w:p w14:paraId="37EA4DE1" w14:textId="77777777" w:rsidR="00FD7C79" w:rsidRPr="00875D17" w:rsidRDefault="00FD7C79">
            <w:pPr>
              <w:rPr>
                <w:rFonts w:cs="Arial"/>
              </w:rPr>
            </w:pPr>
            <w:r w:rsidRPr="00875D17">
              <w:rPr>
                <w:rFonts w:cs="Arial"/>
              </w:rPr>
              <w:t>Policy</w:t>
            </w:r>
          </w:p>
        </w:tc>
        <w:tc>
          <w:tcPr>
            <w:tcW w:w="7308" w:type="dxa"/>
            <w:gridSpan w:val="4"/>
            <w:tcBorders>
              <w:left w:val="nil"/>
            </w:tcBorders>
            <w:shd w:val="clear" w:color="auto" w:fill="auto"/>
          </w:tcPr>
          <w:p w14:paraId="32BA942B" w14:textId="77777777" w:rsidR="0070640F" w:rsidRPr="00875D17" w:rsidRDefault="0070640F" w:rsidP="00875D17">
            <w:pPr>
              <w:jc w:val="both"/>
              <w:rPr>
                <w:rFonts w:cs="Arial"/>
              </w:rPr>
            </w:pPr>
            <w:r w:rsidRPr="00875D17">
              <w:rPr>
                <w:rFonts w:cs="Arial"/>
              </w:rPr>
              <w:t>The GME Committee has established the following guidelines to address difficulties encountered in the process of residency training.  This includes, but is not limited to, adherence to duty hour standards:</w:t>
            </w:r>
          </w:p>
          <w:p w14:paraId="3AD310E2" w14:textId="77777777" w:rsidR="0070640F" w:rsidRPr="00875D17" w:rsidRDefault="0070640F" w:rsidP="00875D17">
            <w:pPr>
              <w:jc w:val="both"/>
              <w:rPr>
                <w:rFonts w:cs="Arial"/>
              </w:rPr>
            </w:pPr>
          </w:p>
          <w:p w14:paraId="4E3B9115" w14:textId="77777777" w:rsidR="0070640F" w:rsidRPr="00875D17" w:rsidRDefault="0070640F" w:rsidP="00875D17">
            <w:pPr>
              <w:numPr>
                <w:ilvl w:val="0"/>
                <w:numId w:val="18"/>
              </w:numPr>
              <w:tabs>
                <w:tab w:val="clear" w:pos="1080"/>
                <w:tab w:val="num" w:pos="720"/>
              </w:tabs>
              <w:ind w:left="720"/>
              <w:jc w:val="both"/>
              <w:rPr>
                <w:rFonts w:cs="Arial"/>
              </w:rPr>
            </w:pPr>
            <w:r w:rsidRPr="00875D17">
              <w:rPr>
                <w:rFonts w:cs="Arial"/>
              </w:rPr>
              <w:t>If a resident perceives a problem, the first step is to talk to and work with the relevant Chief Resident.  If the resident is on a rotation in another specialty, s/he will work with both the relevant and specialty Chief Residents.</w:t>
            </w:r>
          </w:p>
          <w:p w14:paraId="5E39AA71" w14:textId="77777777" w:rsidR="0070640F" w:rsidRPr="00875D17" w:rsidRDefault="0070640F" w:rsidP="00875D17">
            <w:pPr>
              <w:jc w:val="both"/>
              <w:rPr>
                <w:rFonts w:cs="Arial"/>
              </w:rPr>
            </w:pPr>
          </w:p>
          <w:p w14:paraId="654CACC1" w14:textId="77777777" w:rsidR="0070640F" w:rsidRPr="00875D17" w:rsidRDefault="0070640F" w:rsidP="00875D17">
            <w:pPr>
              <w:numPr>
                <w:ilvl w:val="0"/>
                <w:numId w:val="18"/>
              </w:numPr>
              <w:tabs>
                <w:tab w:val="clear" w:pos="1080"/>
                <w:tab w:val="num" w:pos="720"/>
              </w:tabs>
              <w:ind w:left="720"/>
              <w:jc w:val="both"/>
              <w:rPr>
                <w:rFonts w:cs="Arial"/>
              </w:rPr>
            </w:pPr>
            <w:r w:rsidRPr="00875D17">
              <w:rPr>
                <w:rFonts w:cs="Arial"/>
              </w:rPr>
              <w:t xml:space="preserve">If a resident believes his or her concern is not adequately addressed by the Chief Resident(s), </w:t>
            </w:r>
            <w:r w:rsidR="003C3C53">
              <w:rPr>
                <w:rFonts w:cs="Arial"/>
              </w:rPr>
              <w:t xml:space="preserve">or believes that the Chief Resident(s) may have a conflict of interest, </w:t>
            </w:r>
            <w:r w:rsidRPr="00875D17">
              <w:rPr>
                <w:rFonts w:cs="Arial"/>
              </w:rPr>
              <w:t>s/he will then contact his/her Program Director to discuss the problem.  If the resident is currently performing a rotation in another specialty, the Program Director will discuss the situation with the Program Director in that specialty.</w:t>
            </w:r>
          </w:p>
          <w:p w14:paraId="498C640B" w14:textId="77777777" w:rsidR="0070640F" w:rsidRPr="00875D17" w:rsidRDefault="0070640F" w:rsidP="00875D17">
            <w:pPr>
              <w:jc w:val="both"/>
              <w:rPr>
                <w:rFonts w:cs="Arial"/>
              </w:rPr>
            </w:pPr>
          </w:p>
          <w:p w14:paraId="29E6E479" w14:textId="77777777" w:rsidR="0070640F" w:rsidRPr="00875D17" w:rsidRDefault="003C3C53" w:rsidP="00875D17">
            <w:pPr>
              <w:numPr>
                <w:ilvl w:val="0"/>
                <w:numId w:val="18"/>
              </w:numPr>
              <w:tabs>
                <w:tab w:val="clear" w:pos="1080"/>
                <w:tab w:val="num" w:pos="720"/>
              </w:tabs>
              <w:ind w:left="720"/>
              <w:jc w:val="both"/>
              <w:rPr>
                <w:rFonts w:cs="Arial"/>
              </w:rPr>
            </w:pPr>
            <w:r w:rsidRPr="00875D17">
              <w:rPr>
                <w:rFonts w:cs="Arial"/>
              </w:rPr>
              <w:t xml:space="preserve">If a resident believes his or her concern is not adequately addressed by the </w:t>
            </w:r>
            <w:r>
              <w:rPr>
                <w:rFonts w:cs="Arial"/>
              </w:rPr>
              <w:t>Program Director</w:t>
            </w:r>
            <w:r w:rsidRPr="00875D17">
              <w:rPr>
                <w:rFonts w:cs="Arial"/>
              </w:rPr>
              <w:t xml:space="preserve">, </w:t>
            </w:r>
            <w:r>
              <w:rPr>
                <w:rFonts w:cs="Arial"/>
              </w:rPr>
              <w:t>or believes that the Program Directory may a have conflict of interest,</w:t>
            </w:r>
            <w:r w:rsidR="0070640F" w:rsidRPr="00875D17">
              <w:rPr>
                <w:rFonts w:cs="Arial"/>
              </w:rPr>
              <w:t xml:space="preserve">, a resident still believes his/her concerns have not been addressed, s/he should contact the Designated Institutional Official </w:t>
            </w:r>
            <w:r w:rsidR="003C6C11">
              <w:rPr>
                <w:rFonts w:cs="Arial"/>
              </w:rPr>
              <w:t>(</w:t>
            </w:r>
            <w:r w:rsidR="003C6C11" w:rsidRPr="003C6C11">
              <w:rPr>
                <w:rFonts w:cs="Arial"/>
              </w:rPr>
              <w:t>jonesw3@uthscsa.edu</w:t>
            </w:r>
            <w:r w:rsidR="003C6C11">
              <w:rPr>
                <w:rFonts w:cs="Arial"/>
              </w:rPr>
              <w:t xml:space="preserve">) </w:t>
            </w:r>
            <w:r w:rsidR="0070640F" w:rsidRPr="00875D17">
              <w:rPr>
                <w:rFonts w:cs="Arial"/>
              </w:rPr>
              <w:t>or other</w:t>
            </w:r>
            <w:r w:rsidR="0010369C">
              <w:rPr>
                <w:rFonts w:cs="Arial"/>
              </w:rPr>
              <w:t xml:space="preserve"> faculty member in the </w:t>
            </w:r>
            <w:hyperlink r:id="rId8" w:history="1">
              <w:r w:rsidR="0010369C" w:rsidRPr="003C6C11">
                <w:rPr>
                  <w:rStyle w:val="Hyperlink"/>
                  <w:rFonts w:cs="Arial"/>
                </w:rPr>
                <w:t>Office for</w:t>
              </w:r>
              <w:r w:rsidR="0070640F" w:rsidRPr="003C6C11">
                <w:rPr>
                  <w:rStyle w:val="Hyperlink"/>
                  <w:rFonts w:cs="Arial"/>
                </w:rPr>
                <w:t xml:space="preserve"> Graduate Medical Education</w:t>
              </w:r>
            </w:hyperlink>
            <w:r w:rsidR="0070640F" w:rsidRPr="00875D17">
              <w:rPr>
                <w:rFonts w:cs="Arial"/>
              </w:rPr>
              <w:t xml:space="preserve"> </w:t>
            </w:r>
            <w:r w:rsidR="003C6C11">
              <w:rPr>
                <w:rFonts w:cs="Arial"/>
              </w:rPr>
              <w:t xml:space="preserve">(210-567-4431) </w:t>
            </w:r>
            <w:r w:rsidR="0070640F" w:rsidRPr="00875D17">
              <w:rPr>
                <w:rFonts w:cs="Arial"/>
              </w:rPr>
              <w:t xml:space="preserve">at </w:t>
            </w:r>
            <w:r w:rsidR="002C5B32" w:rsidRPr="00875D17">
              <w:rPr>
                <w:rFonts w:cs="Arial"/>
              </w:rPr>
              <w:t>UT</w:t>
            </w:r>
            <w:r w:rsidR="002C5B32">
              <w:rPr>
                <w:rFonts w:cs="Arial"/>
              </w:rPr>
              <w:t xml:space="preserve"> Health San Antonio</w:t>
            </w:r>
            <w:r w:rsidR="002C5B32" w:rsidRPr="00875D17">
              <w:rPr>
                <w:rFonts w:cs="Arial"/>
              </w:rPr>
              <w:t xml:space="preserve"> </w:t>
            </w:r>
            <w:r w:rsidR="002C5B32">
              <w:rPr>
                <w:rFonts w:cs="Arial"/>
              </w:rPr>
              <w:t xml:space="preserve">(UTHSA) </w:t>
            </w:r>
            <w:r w:rsidR="0070640F" w:rsidRPr="00875D17">
              <w:rPr>
                <w:rFonts w:cs="Arial"/>
              </w:rPr>
              <w:t>to discuss his or her concerns.</w:t>
            </w:r>
          </w:p>
          <w:p w14:paraId="19D7ADB5" w14:textId="77777777" w:rsidR="0070640F" w:rsidRPr="00875D17" w:rsidRDefault="0070640F" w:rsidP="00875D17">
            <w:pPr>
              <w:jc w:val="both"/>
              <w:rPr>
                <w:rFonts w:cs="Arial"/>
              </w:rPr>
            </w:pPr>
          </w:p>
          <w:p w14:paraId="022FB1A1" w14:textId="77777777" w:rsidR="0070640F" w:rsidRDefault="0070640F" w:rsidP="005D2373">
            <w:pPr>
              <w:numPr>
                <w:ilvl w:val="0"/>
                <w:numId w:val="18"/>
              </w:numPr>
              <w:tabs>
                <w:tab w:val="clear" w:pos="1080"/>
                <w:tab w:val="left" w:pos="720"/>
              </w:tabs>
              <w:ind w:left="720"/>
              <w:jc w:val="both"/>
              <w:rPr>
                <w:rFonts w:cs="Arial"/>
              </w:rPr>
            </w:pPr>
            <w:r w:rsidRPr="003C3C53">
              <w:rPr>
                <w:rFonts w:cs="Arial"/>
              </w:rPr>
              <w:t xml:space="preserve">If a resident is </w:t>
            </w:r>
            <w:r w:rsidR="00BC484B">
              <w:rPr>
                <w:rFonts w:cs="Arial"/>
              </w:rPr>
              <w:t>concerned</w:t>
            </w:r>
            <w:r w:rsidRPr="003C3C53">
              <w:rPr>
                <w:rFonts w:cs="Arial"/>
              </w:rPr>
              <w:t xml:space="preserve"> about any potential harmful consequences of raising an issue through the above “chain of command,” he/she is encouraged to contact the UTHSA </w:t>
            </w:r>
            <w:hyperlink r:id="rId9" w:history="1">
              <w:r w:rsidR="00BC484B" w:rsidRPr="00F87FE6">
                <w:rPr>
                  <w:rStyle w:val="Hyperlink"/>
                  <w:rFonts w:cs="Arial"/>
                </w:rPr>
                <w:t>O</w:t>
              </w:r>
              <w:r w:rsidRPr="00F87FE6">
                <w:rPr>
                  <w:rStyle w:val="Hyperlink"/>
                  <w:rFonts w:cs="Arial"/>
                </w:rPr>
                <w:t>mbudsperson</w:t>
              </w:r>
            </w:hyperlink>
            <w:r w:rsidR="00BC484B">
              <w:rPr>
                <w:rFonts w:cs="Arial"/>
              </w:rPr>
              <w:t xml:space="preserve"> </w:t>
            </w:r>
            <w:r w:rsidR="00BC484B" w:rsidRPr="007A01B6">
              <w:rPr>
                <w:rFonts w:cs="Arial"/>
              </w:rPr>
              <w:t xml:space="preserve">(Dr. Bonnie Blankmeyer, </w:t>
            </w:r>
            <w:r w:rsidR="00BC484B" w:rsidRPr="007A01B6">
              <w:rPr>
                <w:rFonts w:cs="Arial"/>
                <w:color w:val="333333"/>
                <w:shd w:val="clear" w:color="auto" w:fill="FFFFFF"/>
              </w:rPr>
              <w:t>210-567-2691</w:t>
            </w:r>
            <w:r w:rsidR="00F87FE6">
              <w:rPr>
                <w:rFonts w:cs="Arial"/>
                <w:color w:val="333333"/>
                <w:shd w:val="clear" w:color="auto" w:fill="FFFFFF"/>
              </w:rPr>
              <w:t>, blankmeyer@uthscsa.edu</w:t>
            </w:r>
            <w:r w:rsidR="00BC484B" w:rsidRPr="007A01B6">
              <w:rPr>
                <w:rFonts w:cs="Arial"/>
                <w:color w:val="333333"/>
                <w:shd w:val="clear" w:color="auto" w:fill="FFFFFF"/>
              </w:rPr>
              <w:t>)</w:t>
            </w:r>
            <w:r w:rsidRPr="003C3C53">
              <w:rPr>
                <w:rFonts w:cs="Arial"/>
              </w:rPr>
              <w:t xml:space="preserve">, who will discuss the matter with the resident with complete confidentiality and privacy, and who will bring the resident’s concerns to the Program Director without identifying the resident.  </w:t>
            </w:r>
            <w:r w:rsidR="002C5B32" w:rsidRPr="007A01B6">
              <w:rPr>
                <w:rFonts w:cs="Arial"/>
              </w:rPr>
              <w:t xml:space="preserve">If the resident/fellow believes real or perceived conflicts of interest would preclude or render </w:t>
            </w:r>
            <w:r w:rsidR="002C5B32" w:rsidRPr="007A01B6">
              <w:rPr>
                <w:rFonts w:cs="Arial"/>
              </w:rPr>
              <w:lastRenderedPageBreak/>
              <w:t xml:space="preserve">unproductive such a discussion, it is recommended that s/he engage the Ombudsperson for advice and counsel on the most appropriate course of action to address the concern(s). </w:t>
            </w:r>
          </w:p>
          <w:p w14:paraId="7ABE1BCA" w14:textId="77777777" w:rsidR="002C5B32" w:rsidRPr="003C3C53" w:rsidRDefault="002C5B32" w:rsidP="00BC484B">
            <w:pPr>
              <w:tabs>
                <w:tab w:val="left" w:pos="720"/>
              </w:tabs>
              <w:ind w:left="720"/>
              <w:jc w:val="both"/>
              <w:rPr>
                <w:rFonts w:cs="Arial"/>
              </w:rPr>
            </w:pPr>
          </w:p>
          <w:p w14:paraId="6A3D1E53" w14:textId="77777777" w:rsidR="003B6EDA" w:rsidRDefault="0070640F" w:rsidP="003B6EDA">
            <w:pPr>
              <w:numPr>
                <w:ilvl w:val="0"/>
                <w:numId w:val="18"/>
              </w:numPr>
              <w:tabs>
                <w:tab w:val="clear" w:pos="1080"/>
                <w:tab w:val="num" w:pos="720"/>
              </w:tabs>
              <w:ind w:left="720"/>
              <w:jc w:val="both"/>
              <w:rPr>
                <w:rFonts w:cs="Arial"/>
              </w:rPr>
            </w:pPr>
            <w:r w:rsidRPr="00875D17">
              <w:rPr>
                <w:rFonts w:cs="Arial"/>
              </w:rPr>
              <w:t>A resident may utilize the UTHSA Compliance Line (800-500-0333) to share</w:t>
            </w:r>
            <w:r w:rsidR="00BC484B">
              <w:rPr>
                <w:rFonts w:cs="Arial"/>
              </w:rPr>
              <w:t xml:space="preserve"> anonymously</w:t>
            </w:r>
            <w:r w:rsidRPr="00875D17">
              <w:rPr>
                <w:rFonts w:cs="Arial"/>
              </w:rPr>
              <w:t xml:space="preserve"> concerns of any sort (including duty hours). </w:t>
            </w:r>
            <w:r w:rsidR="002C5B32">
              <w:rPr>
                <w:rFonts w:cs="Arial"/>
              </w:rPr>
              <w:t xml:space="preserve"> </w:t>
            </w:r>
          </w:p>
          <w:p w14:paraId="45C1565B" w14:textId="77777777" w:rsidR="003B6EDA" w:rsidRDefault="003B6EDA" w:rsidP="003B6EDA">
            <w:pPr>
              <w:pStyle w:val="ListParagraph"/>
              <w:rPr>
                <w:rFonts w:cs="Arial"/>
              </w:rPr>
            </w:pPr>
          </w:p>
          <w:p w14:paraId="251AB2BB" w14:textId="77777777" w:rsidR="0002654E" w:rsidRPr="003B6EDA" w:rsidRDefault="0002654E" w:rsidP="003B6EDA">
            <w:pPr>
              <w:numPr>
                <w:ilvl w:val="0"/>
                <w:numId w:val="18"/>
              </w:numPr>
              <w:tabs>
                <w:tab w:val="clear" w:pos="1080"/>
                <w:tab w:val="num" w:pos="720"/>
              </w:tabs>
              <w:ind w:left="720"/>
              <w:jc w:val="both"/>
              <w:rPr>
                <w:rFonts w:cs="Arial"/>
              </w:rPr>
            </w:pPr>
            <w:r w:rsidRPr="003B6EDA">
              <w:rPr>
                <w:rFonts w:cs="Arial"/>
              </w:rPr>
              <w:t xml:space="preserve">Residents who are made aware of, observe, or experience sexual misconduct, including but not limited to sexual harassment or assault, should immediately report any information to the </w:t>
            </w:r>
            <w:r w:rsidRPr="003B6EDA">
              <w:rPr>
                <w:rStyle w:val="Hyperlink"/>
                <w:rFonts w:cs="Arial"/>
              </w:rPr>
              <w:t>Title IX Director</w:t>
            </w:r>
            <w:r w:rsidR="00860F6B">
              <w:t xml:space="preserve"> </w:t>
            </w:r>
            <w:r w:rsidRPr="003B6EDA">
              <w:rPr>
                <w:rFonts w:cs="Arial"/>
              </w:rPr>
              <w:t>(</w:t>
            </w:r>
            <w:r w:rsidR="00F87FE6" w:rsidRPr="003B6EDA">
              <w:rPr>
                <w:rFonts w:cs="Arial"/>
              </w:rPr>
              <w:t>Dr. John Kaulfus,</w:t>
            </w:r>
            <w:r w:rsidR="00860F6B">
              <w:t xml:space="preserve"> </w:t>
            </w:r>
            <w:hyperlink r:id="rId10" w:history="1">
              <w:r w:rsidRPr="003B6EDA">
                <w:rPr>
                  <w:rFonts w:cs="Arial"/>
                </w:rPr>
                <w:t>kaulfus@uthscsa.edu</w:t>
              </w:r>
            </w:hyperlink>
            <w:r w:rsidR="003B6EDA" w:rsidRPr="003B6EDA">
              <w:rPr>
                <w:rFonts w:cs="Arial"/>
              </w:rPr>
              <w:t xml:space="preserve">, </w:t>
            </w:r>
            <w:hyperlink r:id="rId11" w:history="1">
              <w:r w:rsidR="003B6EDA" w:rsidRPr="003B6EDA">
                <w:rPr>
                  <w:rStyle w:val="Hyperlink"/>
                  <w:rFonts w:cs="Arial"/>
                </w:rPr>
                <w:t>https://students.uthscsa.edu/titleix/</w:t>
              </w:r>
            </w:hyperlink>
            <w:r w:rsidR="003B6EDA" w:rsidRPr="003B6EDA">
              <w:rPr>
                <w:rFonts w:cs="Arial"/>
              </w:rPr>
              <w:t xml:space="preserve"> </w:t>
            </w:r>
            <w:r w:rsidRPr="003B6EDA">
              <w:rPr>
                <w:rFonts w:cs="Arial"/>
              </w:rPr>
              <w:t>)</w:t>
            </w:r>
            <w:r w:rsidRPr="003B6EDA">
              <w:rPr>
                <w:color w:val="1F497D"/>
                <w:sz w:val="24"/>
                <w:szCs w:val="24"/>
              </w:rPr>
              <w:t xml:space="preserve"> </w:t>
            </w:r>
            <w:r w:rsidR="00F87FE6" w:rsidRPr="003B6EDA">
              <w:rPr>
                <w:rFonts w:cs="Arial"/>
              </w:rPr>
              <w:t>or to the University Police</w:t>
            </w:r>
            <w:r w:rsidRPr="003B6EDA">
              <w:rPr>
                <w:rFonts w:cs="Arial"/>
              </w:rPr>
              <w:t xml:space="preserve"> Department (</w:t>
            </w:r>
            <w:r w:rsidR="00F87FE6" w:rsidRPr="003B6EDA">
              <w:rPr>
                <w:rFonts w:cs="Arial"/>
              </w:rPr>
              <w:t>210-567-</w:t>
            </w:r>
            <w:r w:rsidR="00F3107B" w:rsidRPr="003B6EDA">
              <w:rPr>
                <w:rFonts w:cs="Arial"/>
              </w:rPr>
              <w:t>2800, option 3).</w:t>
            </w:r>
          </w:p>
          <w:p w14:paraId="0C478954" w14:textId="77777777" w:rsidR="0070640F" w:rsidRPr="00875D17" w:rsidRDefault="0070640F" w:rsidP="00875D17">
            <w:pPr>
              <w:tabs>
                <w:tab w:val="num" w:pos="720"/>
              </w:tabs>
              <w:ind w:left="720"/>
              <w:jc w:val="both"/>
              <w:rPr>
                <w:rFonts w:cs="Arial"/>
              </w:rPr>
            </w:pPr>
          </w:p>
          <w:p w14:paraId="2F6C0361" w14:textId="77777777" w:rsidR="00FD7C79" w:rsidRPr="00875D17" w:rsidRDefault="0070640F" w:rsidP="0010369C">
            <w:pPr>
              <w:numPr>
                <w:ilvl w:val="0"/>
                <w:numId w:val="18"/>
              </w:numPr>
              <w:tabs>
                <w:tab w:val="clear" w:pos="1080"/>
                <w:tab w:val="num" w:pos="711"/>
              </w:tabs>
              <w:ind w:left="711" w:hanging="711"/>
              <w:jc w:val="both"/>
              <w:rPr>
                <w:rFonts w:cs="Arial"/>
              </w:rPr>
            </w:pPr>
            <w:r w:rsidRPr="00875D17">
              <w:rPr>
                <w:rFonts w:cs="Arial"/>
              </w:rPr>
              <w:t>If a resident believes his/her concerns still have not been adequately addressed after following the steps above, s/he should contact the ACGME to present his/her concerns</w:t>
            </w:r>
            <w:r w:rsidR="00BC484B">
              <w:rPr>
                <w:rFonts w:cs="Arial"/>
              </w:rPr>
              <w:t xml:space="preserve"> </w:t>
            </w:r>
            <w:r w:rsidR="00BC484B" w:rsidRPr="00BC484B">
              <w:rPr>
                <w:rFonts w:cs="Arial"/>
              </w:rPr>
              <w:t>https://www.acgme.org/Residents-and-Fellows/Report-an-Issue</w:t>
            </w:r>
            <w:r w:rsidRPr="00875D17">
              <w:rPr>
                <w:rFonts w:cs="Arial"/>
              </w:rPr>
              <w:t>.  While a resident may contact the ACGME at any time, generally, it is most produ</w:t>
            </w:r>
            <w:r w:rsidR="0010369C">
              <w:rPr>
                <w:rFonts w:cs="Arial"/>
              </w:rPr>
              <w:t xml:space="preserve">ctive </w:t>
            </w:r>
            <w:r w:rsidRPr="00875D17">
              <w:rPr>
                <w:rFonts w:cs="Arial"/>
              </w:rPr>
              <w:t xml:space="preserve">to work </w:t>
            </w:r>
            <w:r w:rsidR="0010369C">
              <w:rPr>
                <w:rFonts w:cs="Arial"/>
              </w:rPr>
              <w:t xml:space="preserve">initially </w:t>
            </w:r>
            <w:r w:rsidRPr="00875D17">
              <w:rPr>
                <w:rFonts w:cs="Arial"/>
              </w:rPr>
              <w:t>in good faith with the Chief Resid</w:t>
            </w:r>
            <w:r w:rsidR="0010369C">
              <w:rPr>
                <w:rFonts w:cs="Arial"/>
              </w:rPr>
              <w:t>ent, Program Director, Office for</w:t>
            </w:r>
            <w:r w:rsidRPr="00875D17">
              <w:rPr>
                <w:rFonts w:cs="Arial"/>
              </w:rPr>
              <w:t xml:space="preserve"> Graduate Medical Education, and/or </w:t>
            </w:r>
            <w:r w:rsidR="00BC484B">
              <w:rPr>
                <w:rFonts w:cs="Arial"/>
              </w:rPr>
              <w:t>O</w:t>
            </w:r>
            <w:r w:rsidRPr="00875D17">
              <w:rPr>
                <w:rFonts w:cs="Arial"/>
              </w:rPr>
              <w:t xml:space="preserve">mbudsperson.  </w:t>
            </w:r>
          </w:p>
          <w:p w14:paraId="5DCA6BFD" w14:textId="77777777" w:rsidR="002D3AAC" w:rsidRPr="00875D17" w:rsidRDefault="002D3AAC" w:rsidP="00875D17">
            <w:pPr>
              <w:tabs>
                <w:tab w:val="left" w:pos="720"/>
              </w:tabs>
              <w:ind w:left="720"/>
              <w:jc w:val="both"/>
              <w:rPr>
                <w:rFonts w:cs="Arial"/>
              </w:rPr>
            </w:pPr>
          </w:p>
        </w:tc>
      </w:tr>
    </w:tbl>
    <w:p w14:paraId="73256721" w14:textId="77777777" w:rsidR="000B3AD5" w:rsidRPr="0070640F" w:rsidRDefault="000B3AD5" w:rsidP="00632772">
      <w:pPr>
        <w:spacing w:before="100" w:beforeAutospacing="1" w:after="100" w:afterAutospacing="1"/>
        <w:rPr>
          <w:rFonts w:cs="Arial"/>
        </w:rPr>
      </w:pPr>
    </w:p>
    <w:sectPr w:rsidR="000B3AD5" w:rsidRPr="0070640F">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EA944" w14:textId="77777777" w:rsidR="008F0702" w:rsidRDefault="008F0702">
      <w:r>
        <w:separator/>
      </w:r>
    </w:p>
  </w:endnote>
  <w:endnote w:type="continuationSeparator" w:id="0">
    <w:p w14:paraId="28D6CEA3" w14:textId="77777777" w:rsidR="008F0702" w:rsidRDefault="008F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7EA39" w14:textId="77777777" w:rsidR="0070640F" w:rsidRPr="00632772" w:rsidRDefault="0070640F" w:rsidP="00632772">
    <w:pPr>
      <w:pStyle w:val="Footer"/>
      <w:jc w:val="right"/>
      <w:rPr>
        <w:sz w:val="18"/>
        <w:szCs w:val="18"/>
      </w:rPr>
    </w:pPr>
    <w:r w:rsidRPr="00632772">
      <w:rPr>
        <w:sz w:val="18"/>
        <w:szCs w:val="18"/>
      </w:rPr>
      <w:t xml:space="preserve">Page </w:t>
    </w:r>
    <w:r w:rsidRPr="00632772">
      <w:rPr>
        <w:sz w:val="18"/>
        <w:szCs w:val="18"/>
      </w:rPr>
      <w:fldChar w:fldCharType="begin"/>
    </w:r>
    <w:r w:rsidRPr="00632772">
      <w:rPr>
        <w:sz w:val="18"/>
        <w:szCs w:val="18"/>
      </w:rPr>
      <w:instrText xml:space="preserve"> PAGE </w:instrText>
    </w:r>
    <w:r w:rsidRPr="00632772">
      <w:rPr>
        <w:sz w:val="18"/>
        <w:szCs w:val="18"/>
      </w:rPr>
      <w:fldChar w:fldCharType="separate"/>
    </w:r>
    <w:r w:rsidR="00892A0B">
      <w:rPr>
        <w:noProof/>
        <w:sz w:val="18"/>
        <w:szCs w:val="18"/>
      </w:rPr>
      <w:t>2</w:t>
    </w:r>
    <w:r w:rsidRPr="00632772">
      <w:rPr>
        <w:sz w:val="18"/>
        <w:szCs w:val="18"/>
      </w:rPr>
      <w:fldChar w:fldCharType="end"/>
    </w:r>
    <w:r w:rsidRPr="00632772">
      <w:rPr>
        <w:sz w:val="18"/>
        <w:szCs w:val="18"/>
      </w:rPr>
      <w:t xml:space="preserve"> of </w:t>
    </w:r>
    <w:r w:rsidRPr="00632772">
      <w:rPr>
        <w:sz w:val="18"/>
        <w:szCs w:val="18"/>
      </w:rPr>
      <w:fldChar w:fldCharType="begin"/>
    </w:r>
    <w:r w:rsidRPr="00632772">
      <w:rPr>
        <w:sz w:val="18"/>
        <w:szCs w:val="18"/>
      </w:rPr>
      <w:instrText xml:space="preserve"> NUMPAGES </w:instrText>
    </w:r>
    <w:r w:rsidRPr="00632772">
      <w:rPr>
        <w:sz w:val="18"/>
        <w:szCs w:val="18"/>
      </w:rPr>
      <w:fldChar w:fldCharType="separate"/>
    </w:r>
    <w:r w:rsidR="00892A0B">
      <w:rPr>
        <w:noProof/>
        <w:sz w:val="18"/>
        <w:szCs w:val="18"/>
      </w:rPr>
      <w:t>2</w:t>
    </w:r>
    <w:r w:rsidRPr="0063277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257DE" w14:textId="77777777" w:rsidR="008F0702" w:rsidRDefault="008F0702">
      <w:r>
        <w:separator/>
      </w:r>
    </w:p>
  </w:footnote>
  <w:footnote w:type="continuationSeparator" w:id="0">
    <w:p w14:paraId="45F4872F" w14:textId="77777777" w:rsidR="008F0702" w:rsidRDefault="008F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8FFA8" w14:textId="77777777" w:rsidR="0070640F" w:rsidRDefault="0070640F" w:rsidP="00613A3D">
    <w:pPr>
      <w:pStyle w:val="Header"/>
      <w:jc w:val="center"/>
    </w:pPr>
    <w:r>
      <w:t>UTHSCSA Graduate Medical Education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97E"/>
    <w:multiLevelType w:val="hybridMultilevel"/>
    <w:tmpl w:val="374CA9EA"/>
    <w:lvl w:ilvl="0" w:tplc="FFFFFFFF">
      <w:start w:val="1"/>
      <w:numFmt w:val="bullet"/>
      <w:lvlText w:val=""/>
      <w:lvlJc w:val="left"/>
      <w:pPr>
        <w:tabs>
          <w:tab w:val="num" w:pos="648"/>
        </w:tabs>
        <w:ind w:left="648" w:hanging="28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10461"/>
    <w:multiLevelType w:val="hybridMultilevel"/>
    <w:tmpl w:val="417A4E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D3839"/>
    <w:multiLevelType w:val="hybridMultilevel"/>
    <w:tmpl w:val="49A489CE"/>
    <w:lvl w:ilvl="0" w:tplc="FFFFFFFF">
      <w:start w:val="1"/>
      <w:numFmt w:val="bullet"/>
      <w:lvlText w:val=""/>
      <w:lvlJc w:val="left"/>
      <w:pPr>
        <w:tabs>
          <w:tab w:val="num" w:pos="648"/>
        </w:tabs>
        <w:ind w:left="648" w:hanging="288"/>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DD60AF"/>
    <w:multiLevelType w:val="hybridMultilevel"/>
    <w:tmpl w:val="CEBED6FC"/>
    <w:lvl w:ilvl="0" w:tplc="FFFFFFFF">
      <w:start w:val="1"/>
      <w:numFmt w:val="bullet"/>
      <w:lvlText w:val=""/>
      <w:lvlJc w:val="left"/>
      <w:pPr>
        <w:tabs>
          <w:tab w:val="num" w:pos="648"/>
        </w:tabs>
        <w:ind w:left="648" w:hanging="288"/>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EE3C0F"/>
    <w:multiLevelType w:val="hybridMultilevel"/>
    <w:tmpl w:val="A77483F6"/>
    <w:lvl w:ilvl="0" w:tplc="FFFFFFFF">
      <w:start w:val="2"/>
      <w:numFmt w:val="upperRoman"/>
      <w:pStyle w:val="Heading4"/>
      <w:lvlText w:val="%1."/>
      <w:lvlJc w:val="left"/>
      <w:pPr>
        <w:tabs>
          <w:tab w:val="num" w:pos="1080"/>
        </w:tabs>
        <w:ind w:left="1080" w:hanging="72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ECC5B04"/>
    <w:multiLevelType w:val="hybridMultilevel"/>
    <w:tmpl w:val="0214FE02"/>
    <w:lvl w:ilvl="0" w:tplc="FFFFFFFF">
      <w:start w:val="1"/>
      <w:numFmt w:val="bullet"/>
      <w:lvlText w:val=""/>
      <w:lvlJc w:val="left"/>
      <w:pPr>
        <w:tabs>
          <w:tab w:val="num" w:pos="648"/>
        </w:tabs>
        <w:ind w:left="648" w:hanging="288"/>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9D2CAD"/>
    <w:multiLevelType w:val="multilevel"/>
    <w:tmpl w:val="26143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46E1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D1260DB"/>
    <w:multiLevelType w:val="hybridMultilevel"/>
    <w:tmpl w:val="1D70C8D2"/>
    <w:lvl w:ilvl="0" w:tplc="FFFFFFFF">
      <w:start w:val="1"/>
      <w:numFmt w:val="bullet"/>
      <w:lvlText w:val=""/>
      <w:lvlJc w:val="left"/>
      <w:pPr>
        <w:tabs>
          <w:tab w:val="num" w:pos="576"/>
        </w:tabs>
        <w:ind w:left="576" w:hanging="288"/>
      </w:pPr>
      <w:rPr>
        <w:rFonts w:ascii="Symbol" w:hAnsi="Symbol" w:hint="default"/>
      </w:rPr>
    </w:lvl>
    <w:lvl w:ilvl="1" w:tplc="FFFFFFFF" w:tentative="1">
      <w:start w:val="1"/>
      <w:numFmt w:val="bullet"/>
      <w:lvlText w:val="o"/>
      <w:lvlJc w:val="left"/>
      <w:pPr>
        <w:tabs>
          <w:tab w:val="num" w:pos="1728"/>
        </w:tabs>
        <w:ind w:left="1728" w:hanging="360"/>
      </w:pPr>
      <w:rPr>
        <w:rFonts w:ascii="Courier New" w:hAnsi="Courier New" w:cs="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cs="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cs="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24866931"/>
    <w:multiLevelType w:val="multilevel"/>
    <w:tmpl w:val="26143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EE78AB"/>
    <w:multiLevelType w:val="multilevel"/>
    <w:tmpl w:val="3AA42100"/>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42CF3666"/>
    <w:multiLevelType w:val="multilevel"/>
    <w:tmpl w:val="26143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1C5887"/>
    <w:multiLevelType w:val="hybridMultilevel"/>
    <w:tmpl w:val="F704DF64"/>
    <w:lvl w:ilvl="0" w:tplc="119E322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0B24E0"/>
    <w:multiLevelType w:val="hybridMultilevel"/>
    <w:tmpl w:val="DA54766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5B5F3E"/>
    <w:multiLevelType w:val="hybridMultilevel"/>
    <w:tmpl w:val="30A4874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6B3EDF"/>
    <w:multiLevelType w:val="multilevel"/>
    <w:tmpl w:val="0409001F"/>
    <w:numStyleLink w:val="111111"/>
  </w:abstractNum>
  <w:abstractNum w:abstractNumId="16" w15:restartNumberingAfterBreak="0">
    <w:nsid w:val="76225018"/>
    <w:multiLevelType w:val="hybridMultilevel"/>
    <w:tmpl w:val="FBBC0E1E"/>
    <w:lvl w:ilvl="0" w:tplc="FFFFFFFF">
      <w:start w:val="1"/>
      <w:numFmt w:val="bullet"/>
      <w:lvlText w:val=""/>
      <w:lvlJc w:val="left"/>
      <w:pPr>
        <w:tabs>
          <w:tab w:val="num" w:pos="648"/>
        </w:tabs>
        <w:ind w:left="648" w:hanging="288"/>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DF863EA"/>
    <w:multiLevelType w:val="multilevel"/>
    <w:tmpl w:val="261437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7"/>
  </w:num>
  <w:num w:numId="3">
    <w:abstractNumId w:val="4"/>
  </w:num>
  <w:num w:numId="4">
    <w:abstractNumId w:val="1"/>
  </w:num>
  <w:num w:numId="5">
    <w:abstractNumId w:val="8"/>
  </w:num>
  <w:num w:numId="6">
    <w:abstractNumId w:val="14"/>
  </w:num>
  <w:num w:numId="7">
    <w:abstractNumId w:val="3"/>
  </w:num>
  <w:num w:numId="8">
    <w:abstractNumId w:val="2"/>
  </w:num>
  <w:num w:numId="9">
    <w:abstractNumId w:val="16"/>
  </w:num>
  <w:num w:numId="10">
    <w:abstractNumId w:val="5"/>
  </w:num>
  <w:num w:numId="11">
    <w:abstractNumId w:val="13"/>
  </w:num>
  <w:num w:numId="12">
    <w:abstractNumId w:val="0"/>
  </w:num>
  <w:num w:numId="13">
    <w:abstractNumId w:val="17"/>
  </w:num>
  <w:num w:numId="14">
    <w:abstractNumId w:val="11"/>
  </w:num>
  <w:num w:numId="15">
    <w:abstractNumId w:val="6"/>
  </w:num>
  <w:num w:numId="16">
    <w:abstractNumId w:val="9"/>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A3D"/>
    <w:rsid w:val="0002654E"/>
    <w:rsid w:val="000855C9"/>
    <w:rsid w:val="00094F6D"/>
    <w:rsid w:val="000B3AD5"/>
    <w:rsid w:val="0010369C"/>
    <w:rsid w:val="00126779"/>
    <w:rsid w:val="00163ECF"/>
    <w:rsid w:val="00286B48"/>
    <w:rsid w:val="002C5B32"/>
    <w:rsid w:val="002D3AAC"/>
    <w:rsid w:val="002F4A35"/>
    <w:rsid w:val="00392775"/>
    <w:rsid w:val="0039739F"/>
    <w:rsid w:val="003A5A62"/>
    <w:rsid w:val="003B2867"/>
    <w:rsid w:val="003B6EDA"/>
    <w:rsid w:val="003C3C53"/>
    <w:rsid w:val="003C6C11"/>
    <w:rsid w:val="003E3573"/>
    <w:rsid w:val="00435E8F"/>
    <w:rsid w:val="00464D5C"/>
    <w:rsid w:val="004743A6"/>
    <w:rsid w:val="00505D7A"/>
    <w:rsid w:val="005133FA"/>
    <w:rsid w:val="0057142A"/>
    <w:rsid w:val="005C598B"/>
    <w:rsid w:val="005C6661"/>
    <w:rsid w:val="005D2373"/>
    <w:rsid w:val="005F14D6"/>
    <w:rsid w:val="005F2694"/>
    <w:rsid w:val="00613A3D"/>
    <w:rsid w:val="00632772"/>
    <w:rsid w:val="006640D8"/>
    <w:rsid w:val="00683B47"/>
    <w:rsid w:val="006911D6"/>
    <w:rsid w:val="006B14B1"/>
    <w:rsid w:val="006F6EAB"/>
    <w:rsid w:val="0070245E"/>
    <w:rsid w:val="0070640F"/>
    <w:rsid w:val="007210FB"/>
    <w:rsid w:val="00740F11"/>
    <w:rsid w:val="007521AE"/>
    <w:rsid w:val="007E0970"/>
    <w:rsid w:val="00835F50"/>
    <w:rsid w:val="00845F34"/>
    <w:rsid w:val="00860F6B"/>
    <w:rsid w:val="00875D17"/>
    <w:rsid w:val="00880F34"/>
    <w:rsid w:val="00892A0B"/>
    <w:rsid w:val="008A6629"/>
    <w:rsid w:val="008C29F2"/>
    <w:rsid w:val="008D0EDF"/>
    <w:rsid w:val="008D7713"/>
    <w:rsid w:val="008F0702"/>
    <w:rsid w:val="00913552"/>
    <w:rsid w:val="0096553C"/>
    <w:rsid w:val="009E791B"/>
    <w:rsid w:val="00A7161B"/>
    <w:rsid w:val="00AB20C5"/>
    <w:rsid w:val="00B54DA2"/>
    <w:rsid w:val="00BA684F"/>
    <w:rsid w:val="00BC484B"/>
    <w:rsid w:val="00BC5383"/>
    <w:rsid w:val="00BC6C89"/>
    <w:rsid w:val="00C32A8E"/>
    <w:rsid w:val="00D0046E"/>
    <w:rsid w:val="00D01440"/>
    <w:rsid w:val="00D75227"/>
    <w:rsid w:val="00D97258"/>
    <w:rsid w:val="00DF1DFE"/>
    <w:rsid w:val="00E30861"/>
    <w:rsid w:val="00E618FD"/>
    <w:rsid w:val="00EC1C77"/>
    <w:rsid w:val="00F3107B"/>
    <w:rsid w:val="00F54E0C"/>
    <w:rsid w:val="00F87FE6"/>
    <w:rsid w:val="00F90893"/>
    <w:rsid w:val="00FA0F92"/>
    <w:rsid w:val="00FB2BE8"/>
    <w:rsid w:val="00FC2445"/>
    <w:rsid w:val="00FD2C9D"/>
    <w:rsid w:val="00FD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31BCA0"/>
  <w15:chartTrackingRefBased/>
  <w15:docId w15:val="{7BE75E5B-683F-4447-96B2-ED3267B2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2"/>
    </w:rPr>
  </w:style>
  <w:style w:type="paragraph" w:styleId="Heading4">
    <w:name w:val="heading 4"/>
    <w:basedOn w:val="Normal"/>
    <w:next w:val="Normal"/>
    <w:qFormat/>
    <w:rsid w:val="00FC2445"/>
    <w:pPr>
      <w:keepNext/>
      <w:widowControl w:val="0"/>
      <w:numPr>
        <w:numId w:val="3"/>
      </w:numPr>
      <w:tabs>
        <w:tab w:val="left" w:pos="-1440"/>
        <w:tab w:val="left" w:pos="-720"/>
        <w:tab w:val="left" w:pos="-360"/>
        <w:tab w:val="left" w:pos="0"/>
        <w:tab w:val="left" w:pos="540"/>
        <w:tab w:val="left" w:pos="1620"/>
      </w:tabs>
      <w:autoSpaceDE w:val="0"/>
      <w:autoSpaceDN w:val="0"/>
      <w:adjustRightInd w:val="0"/>
      <w:jc w:val="both"/>
      <w:outlineLvl w:val="3"/>
    </w:pPr>
    <w:rPr>
      <w:rFonts w:cs="Arial"/>
      <w:sz w:val="24"/>
      <w:szCs w:val="24"/>
    </w:rPr>
  </w:style>
  <w:style w:type="paragraph" w:styleId="Heading5">
    <w:name w:val="heading 5"/>
    <w:basedOn w:val="Normal"/>
    <w:next w:val="Normal"/>
    <w:qFormat/>
    <w:rsid w:val="00FC2445"/>
    <w:pPr>
      <w:keepNext/>
      <w:widowControl w:val="0"/>
      <w:tabs>
        <w:tab w:val="left" w:pos="-1440"/>
        <w:tab w:val="left" w:pos="-720"/>
        <w:tab w:val="left" w:pos="-360"/>
        <w:tab w:val="left" w:pos="0"/>
        <w:tab w:val="left" w:pos="540"/>
        <w:tab w:val="left" w:pos="1620"/>
      </w:tabs>
      <w:autoSpaceDE w:val="0"/>
      <w:autoSpaceDN w:val="0"/>
      <w:adjustRightInd w:val="0"/>
      <w:jc w:val="both"/>
      <w:outlineLvl w:val="4"/>
    </w:pPr>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A3D"/>
    <w:pPr>
      <w:tabs>
        <w:tab w:val="center" w:pos="4320"/>
        <w:tab w:val="right" w:pos="8640"/>
      </w:tabs>
    </w:pPr>
  </w:style>
  <w:style w:type="paragraph" w:styleId="Footer">
    <w:name w:val="footer"/>
    <w:basedOn w:val="Normal"/>
    <w:rsid w:val="00613A3D"/>
    <w:pPr>
      <w:tabs>
        <w:tab w:val="center" w:pos="4320"/>
        <w:tab w:val="right" w:pos="8640"/>
      </w:tabs>
    </w:pPr>
  </w:style>
  <w:style w:type="table" w:styleId="TableGrid">
    <w:name w:val="Table Grid"/>
    <w:basedOn w:val="TableNormal"/>
    <w:rsid w:val="00613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86B48"/>
    <w:pPr>
      <w:numPr>
        <w:numId w:val="2"/>
      </w:numPr>
    </w:pPr>
  </w:style>
  <w:style w:type="paragraph" w:styleId="BodyText">
    <w:name w:val="Body Text"/>
    <w:basedOn w:val="Normal"/>
    <w:rsid w:val="00FC2445"/>
    <w:pPr>
      <w:widowControl w:val="0"/>
      <w:tabs>
        <w:tab w:val="left" w:pos="-1440"/>
        <w:tab w:val="left" w:pos="-720"/>
        <w:tab w:val="left" w:pos="-360"/>
        <w:tab w:val="left" w:pos="0"/>
        <w:tab w:val="left" w:pos="540"/>
        <w:tab w:val="left" w:pos="1080"/>
        <w:tab w:val="left" w:pos="1620"/>
      </w:tabs>
      <w:autoSpaceDE w:val="0"/>
      <w:autoSpaceDN w:val="0"/>
      <w:adjustRightInd w:val="0"/>
      <w:jc w:val="both"/>
    </w:pPr>
    <w:rPr>
      <w:rFonts w:cs="Arial"/>
      <w:sz w:val="24"/>
      <w:szCs w:val="24"/>
    </w:rPr>
  </w:style>
  <w:style w:type="character" w:styleId="Hyperlink">
    <w:name w:val="Hyperlink"/>
    <w:rsid w:val="00FC2445"/>
    <w:rPr>
      <w:color w:val="0000FF"/>
      <w:u w:val="single"/>
    </w:rPr>
  </w:style>
  <w:style w:type="paragraph" w:styleId="NormalWeb">
    <w:name w:val="Normal (Web)"/>
    <w:basedOn w:val="Normal"/>
    <w:rsid w:val="005F2694"/>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sid w:val="003C3C53"/>
    <w:rPr>
      <w:rFonts w:ascii="Segoe UI" w:hAnsi="Segoe UI" w:cs="Segoe UI"/>
      <w:sz w:val="18"/>
      <w:szCs w:val="18"/>
    </w:rPr>
  </w:style>
  <w:style w:type="character" w:customStyle="1" w:styleId="BalloonTextChar">
    <w:name w:val="Balloon Text Char"/>
    <w:basedOn w:val="DefaultParagraphFont"/>
    <w:link w:val="BalloonText"/>
    <w:rsid w:val="003C3C53"/>
    <w:rPr>
      <w:rFonts w:ascii="Segoe UI" w:hAnsi="Segoe UI" w:cs="Segoe UI"/>
      <w:sz w:val="18"/>
      <w:szCs w:val="18"/>
    </w:rPr>
  </w:style>
  <w:style w:type="paragraph" w:styleId="ListParagraph">
    <w:name w:val="List Paragraph"/>
    <w:basedOn w:val="Normal"/>
    <w:uiPriority w:val="34"/>
    <w:qFormat/>
    <w:rsid w:val="002C5B32"/>
    <w:pPr>
      <w:ind w:left="720"/>
      <w:contextualSpacing/>
    </w:pPr>
  </w:style>
  <w:style w:type="character" w:styleId="CommentReference">
    <w:name w:val="annotation reference"/>
    <w:basedOn w:val="DefaultParagraphFont"/>
    <w:rsid w:val="00FD2C9D"/>
    <w:rPr>
      <w:sz w:val="16"/>
      <w:szCs w:val="16"/>
    </w:rPr>
  </w:style>
  <w:style w:type="paragraph" w:styleId="CommentText">
    <w:name w:val="annotation text"/>
    <w:basedOn w:val="Normal"/>
    <w:link w:val="CommentTextChar"/>
    <w:rsid w:val="00FD2C9D"/>
    <w:rPr>
      <w:sz w:val="20"/>
      <w:szCs w:val="20"/>
    </w:rPr>
  </w:style>
  <w:style w:type="character" w:customStyle="1" w:styleId="CommentTextChar">
    <w:name w:val="Comment Text Char"/>
    <w:basedOn w:val="DefaultParagraphFont"/>
    <w:link w:val="CommentText"/>
    <w:rsid w:val="00FD2C9D"/>
    <w:rPr>
      <w:rFonts w:ascii="Arial" w:hAnsi="Arial"/>
    </w:rPr>
  </w:style>
  <w:style w:type="paragraph" w:styleId="CommentSubject">
    <w:name w:val="annotation subject"/>
    <w:basedOn w:val="CommentText"/>
    <w:next w:val="CommentText"/>
    <w:link w:val="CommentSubjectChar"/>
    <w:rsid w:val="00FD2C9D"/>
    <w:rPr>
      <w:b/>
      <w:bCs/>
    </w:rPr>
  </w:style>
  <w:style w:type="character" w:customStyle="1" w:styleId="CommentSubjectChar">
    <w:name w:val="Comment Subject Char"/>
    <w:basedOn w:val="CommentTextChar"/>
    <w:link w:val="CommentSubject"/>
    <w:rsid w:val="00FD2C9D"/>
    <w:rPr>
      <w:rFonts w:ascii="Arial" w:hAnsi="Arial"/>
      <w:b/>
      <w:bCs/>
    </w:rPr>
  </w:style>
  <w:style w:type="character" w:customStyle="1" w:styleId="UnresolvedMention1">
    <w:name w:val="Unresolved Mention1"/>
    <w:basedOn w:val="DefaultParagraphFont"/>
    <w:uiPriority w:val="99"/>
    <w:semiHidden/>
    <w:unhideWhenUsed/>
    <w:rsid w:val="0002654E"/>
    <w:rPr>
      <w:color w:val="808080"/>
      <w:shd w:val="clear" w:color="auto" w:fill="E6E6E6"/>
    </w:rPr>
  </w:style>
  <w:style w:type="character" w:styleId="Strong">
    <w:name w:val="Strong"/>
    <w:basedOn w:val="DefaultParagraphFont"/>
    <w:uiPriority w:val="22"/>
    <w:qFormat/>
    <w:rsid w:val="00F3107B"/>
    <w:rPr>
      <w:b/>
      <w:bCs/>
    </w:rPr>
  </w:style>
  <w:style w:type="character" w:styleId="FollowedHyperlink">
    <w:name w:val="FollowedHyperlink"/>
    <w:basedOn w:val="DefaultParagraphFont"/>
    <w:rsid w:val="00860F6B"/>
    <w:rPr>
      <w:color w:val="954F72" w:themeColor="followedHyperlink"/>
      <w:u w:val="single"/>
    </w:rPr>
  </w:style>
  <w:style w:type="character" w:customStyle="1" w:styleId="UnresolvedMention2">
    <w:name w:val="Unresolved Mention2"/>
    <w:basedOn w:val="DefaultParagraphFont"/>
    <w:uiPriority w:val="99"/>
    <w:semiHidden/>
    <w:unhideWhenUsed/>
    <w:rsid w:val="003B6E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932619">
      <w:bodyDiv w:val="1"/>
      <w:marLeft w:val="0"/>
      <w:marRight w:val="0"/>
      <w:marTop w:val="0"/>
      <w:marBottom w:val="0"/>
      <w:divBdr>
        <w:top w:val="none" w:sz="0" w:space="0" w:color="auto"/>
        <w:left w:val="none" w:sz="0" w:space="0" w:color="auto"/>
        <w:bottom w:val="none" w:sz="0" w:space="0" w:color="auto"/>
        <w:right w:val="none" w:sz="0" w:space="0" w:color="auto"/>
      </w:divBdr>
      <w:divsChild>
        <w:div w:id="1421369907">
          <w:marLeft w:val="0"/>
          <w:marRight w:val="0"/>
          <w:marTop w:val="0"/>
          <w:marBottom w:val="0"/>
          <w:divBdr>
            <w:top w:val="none" w:sz="0" w:space="0" w:color="auto"/>
            <w:left w:val="none" w:sz="0" w:space="0" w:color="auto"/>
            <w:bottom w:val="none" w:sz="0" w:space="0" w:color="auto"/>
            <w:right w:val="none" w:sz="0" w:space="0" w:color="auto"/>
          </w:divBdr>
          <w:divsChild>
            <w:div w:id="56422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hscsa.edu/gm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s.uthscsa.edu/titlei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ulfus@uthscsa.edu" TargetMode="External"/><Relationship Id="rId4" Type="http://schemas.openxmlformats.org/officeDocument/2006/relationships/settings" Target="settings.xml"/><Relationship Id="rId9" Type="http://schemas.openxmlformats.org/officeDocument/2006/relationships/hyperlink" Target="http://uthscsa.edu/ee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B8DCA-CA2F-4D04-83AF-679B4567B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Chapter __</vt:lpstr>
    </vt:vector>
  </TitlesOfParts>
  <Company>UTHSCSA</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__</dc:title>
  <dc:subject/>
  <dc:creator>Bready</dc:creator>
  <cp:keywords/>
  <cp:lastModifiedBy>Malone, Wendy M</cp:lastModifiedBy>
  <cp:revision>2</cp:revision>
  <cp:lastPrinted>2015-02-17T14:36:00Z</cp:lastPrinted>
  <dcterms:created xsi:type="dcterms:W3CDTF">2018-12-21T17:59:00Z</dcterms:created>
  <dcterms:modified xsi:type="dcterms:W3CDTF">2018-12-21T17:59:00Z</dcterms:modified>
</cp:coreProperties>
</file>