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A9F07" w14:textId="77777777" w:rsidR="00643880" w:rsidRPr="00643880" w:rsidRDefault="00643880" w:rsidP="00643880">
      <w:pPr>
        <w:pStyle w:val="NoSpacing"/>
        <w:jc w:val="both"/>
        <w:rPr>
          <w:rFonts w:ascii="Arial" w:hAnsi="Arial" w:cs="Arial"/>
          <w:b/>
          <w:bCs/>
        </w:rPr>
      </w:pPr>
      <w:proofErr w:type="spellStart"/>
      <w:r w:rsidRPr="00643880">
        <w:rPr>
          <w:rFonts w:ascii="Arial" w:hAnsi="Arial" w:cs="Arial"/>
          <w:b/>
          <w:bCs/>
        </w:rPr>
        <w:t>Bioanalytics</w:t>
      </w:r>
      <w:proofErr w:type="spellEnd"/>
      <w:r w:rsidRPr="00643880">
        <w:rPr>
          <w:rFonts w:ascii="Arial" w:hAnsi="Arial" w:cs="Arial"/>
          <w:b/>
          <w:bCs/>
        </w:rPr>
        <w:t xml:space="preserve"> and Single-Cell Core (</w:t>
      </w:r>
      <w:proofErr w:type="spellStart"/>
      <w:r w:rsidRPr="00643880">
        <w:rPr>
          <w:rFonts w:ascii="Arial" w:hAnsi="Arial" w:cs="Arial"/>
          <w:b/>
          <w:bCs/>
        </w:rPr>
        <w:t>BASiC</w:t>
      </w:r>
      <w:proofErr w:type="spellEnd"/>
      <w:r w:rsidRPr="00643880">
        <w:rPr>
          <w:rFonts w:ascii="Arial" w:hAnsi="Arial" w:cs="Arial"/>
          <w:b/>
          <w:bCs/>
        </w:rPr>
        <w:t>):</w:t>
      </w:r>
    </w:p>
    <w:p w14:paraId="641F38D8" w14:textId="6972938D" w:rsidR="00F04F90" w:rsidRPr="00F04F90" w:rsidRDefault="00643880" w:rsidP="00F04F90">
      <w:pPr>
        <w:pStyle w:val="NoSpacing"/>
        <w:jc w:val="both"/>
        <w:rPr>
          <w:rFonts w:ascii="Arial" w:hAnsi="Arial" w:cs="Arial"/>
        </w:rPr>
      </w:pPr>
      <w:r w:rsidRPr="00643880">
        <w:rPr>
          <w:rFonts w:ascii="Arial" w:hAnsi="Arial" w:cs="Arial"/>
        </w:rPr>
        <w:t>Located in the S</w:t>
      </w:r>
      <w:r>
        <w:rPr>
          <w:rFonts w:ascii="Arial" w:hAnsi="Arial" w:cs="Arial"/>
        </w:rPr>
        <w:t>outh Texas Research Facility</w:t>
      </w:r>
      <w:r w:rsidRPr="00643880">
        <w:rPr>
          <w:rFonts w:ascii="Arial" w:hAnsi="Arial" w:cs="Arial"/>
        </w:rPr>
        <w:t xml:space="preserve">, </w:t>
      </w:r>
      <w:proofErr w:type="spellStart"/>
      <w:r w:rsidRPr="00643880">
        <w:rPr>
          <w:rFonts w:ascii="Arial" w:hAnsi="Arial" w:cs="Arial"/>
        </w:rPr>
        <w:t>BASiC</w:t>
      </w:r>
      <w:proofErr w:type="spellEnd"/>
      <w:r w:rsidRPr="00643880">
        <w:rPr>
          <w:rFonts w:ascii="Arial" w:hAnsi="Arial" w:cs="Arial"/>
        </w:rPr>
        <w:t xml:space="preserve"> provides services to the research community at the NCI-designated Cancer </w:t>
      </w:r>
      <w:proofErr w:type="gramStart"/>
      <w:r w:rsidRPr="00643880">
        <w:rPr>
          <w:rFonts w:ascii="Arial" w:hAnsi="Arial" w:cs="Arial"/>
        </w:rPr>
        <w:t>Center, and</w:t>
      </w:r>
      <w:proofErr w:type="gramEnd"/>
      <w:r w:rsidRPr="00643880">
        <w:rPr>
          <w:rFonts w:ascii="Arial" w:hAnsi="Arial" w:cs="Arial"/>
        </w:rPr>
        <w:t xml:space="preserve"> is directed by Dr. </w:t>
      </w:r>
      <w:r>
        <w:rPr>
          <w:rFonts w:ascii="Arial" w:hAnsi="Arial" w:cs="Arial"/>
        </w:rPr>
        <w:t xml:space="preserve">Nameer </w:t>
      </w:r>
      <w:r w:rsidRPr="00643880">
        <w:rPr>
          <w:rFonts w:ascii="Arial" w:hAnsi="Arial" w:cs="Arial"/>
        </w:rPr>
        <w:t>Kirma</w:t>
      </w:r>
      <w:r w:rsidR="00810E92">
        <w:rPr>
          <w:rFonts w:ascii="Arial" w:hAnsi="Arial" w:cs="Arial"/>
        </w:rPr>
        <w:t xml:space="preserve"> since</w:t>
      </w:r>
      <w:r w:rsidR="003B65D8">
        <w:rPr>
          <w:rFonts w:ascii="Arial" w:hAnsi="Arial" w:cs="Arial"/>
        </w:rPr>
        <w:t xml:space="preserve"> 2017</w:t>
      </w:r>
      <w:r w:rsidRPr="00643880">
        <w:rPr>
          <w:rFonts w:ascii="Arial" w:hAnsi="Arial" w:cs="Arial"/>
        </w:rPr>
        <w:t xml:space="preserve">. The four objectives of the </w:t>
      </w:r>
      <w:proofErr w:type="spellStart"/>
      <w:r w:rsidRPr="00643880">
        <w:rPr>
          <w:rFonts w:ascii="Arial" w:hAnsi="Arial" w:cs="Arial"/>
        </w:rPr>
        <w:t>BASiC</w:t>
      </w:r>
      <w:proofErr w:type="spellEnd"/>
      <w:r w:rsidRPr="00643880">
        <w:rPr>
          <w:rFonts w:ascii="Arial" w:hAnsi="Arial" w:cs="Arial"/>
        </w:rPr>
        <w:t xml:space="preserve"> are to provide: 1) clinical sample processing for single-cell isolation and banking; 2) high-throughput platforms for single-cell identification and characterization; 3) robust single-cell based informatics and statistical analyses for data integration and interpretation; and 4) outreach and pilot project programs to enhance the </w:t>
      </w:r>
      <w:proofErr w:type="spellStart"/>
      <w:r w:rsidRPr="00643880">
        <w:rPr>
          <w:rFonts w:ascii="Arial" w:hAnsi="Arial" w:cs="Arial"/>
        </w:rPr>
        <w:t>BASiC</w:t>
      </w:r>
      <w:proofErr w:type="spellEnd"/>
      <w:r w:rsidRPr="00643880">
        <w:rPr>
          <w:rFonts w:ascii="Arial" w:hAnsi="Arial" w:cs="Arial"/>
        </w:rPr>
        <w:t xml:space="preserve"> user base, seed collaborations and support early-stage investigators. </w:t>
      </w:r>
      <w:r w:rsidR="00F04F90" w:rsidRPr="00F04F90">
        <w:rPr>
          <w:rFonts w:ascii="Arial" w:hAnsi="Arial" w:cs="Arial"/>
        </w:rPr>
        <w:t>Current single-cell isolation platforms include three combined immunofluorescence-micromanipulator workstations and the C1 single-cell capture and processing station, capable of automated single-cell cDNA preparation for PCR and RNA-seq. For single-cell PCR expression analysis, the C1 single-cell auto prep system (</w:t>
      </w:r>
      <w:proofErr w:type="spellStart"/>
      <w:r w:rsidR="00F04F90" w:rsidRPr="00F04F90">
        <w:rPr>
          <w:rFonts w:ascii="Arial" w:hAnsi="Arial" w:cs="Arial"/>
        </w:rPr>
        <w:t>Fluidigm</w:t>
      </w:r>
      <w:proofErr w:type="spellEnd"/>
      <w:r w:rsidR="00F04F90" w:rsidRPr="00F04F90">
        <w:rPr>
          <w:rFonts w:ascii="Arial" w:hAnsi="Arial" w:cs="Arial"/>
        </w:rPr>
        <w:t xml:space="preserve">) and the </w:t>
      </w:r>
      <w:proofErr w:type="spellStart"/>
      <w:r w:rsidR="00F04F90" w:rsidRPr="00F04F90">
        <w:rPr>
          <w:rFonts w:ascii="Arial" w:hAnsi="Arial" w:cs="Arial"/>
        </w:rPr>
        <w:t>BioMark</w:t>
      </w:r>
      <w:proofErr w:type="spellEnd"/>
      <w:r w:rsidR="00F04F90" w:rsidRPr="00F04F90">
        <w:rPr>
          <w:rFonts w:ascii="Arial" w:hAnsi="Arial" w:cs="Arial"/>
        </w:rPr>
        <w:t xml:space="preserve"> (</w:t>
      </w:r>
      <w:proofErr w:type="spellStart"/>
      <w:r w:rsidR="00F04F90" w:rsidRPr="00F04F90">
        <w:rPr>
          <w:rFonts w:ascii="Arial" w:hAnsi="Arial" w:cs="Arial"/>
        </w:rPr>
        <w:t>Fluidigm</w:t>
      </w:r>
      <w:proofErr w:type="spellEnd"/>
      <w:r w:rsidR="00F04F90" w:rsidRPr="00F04F90">
        <w:rPr>
          <w:rFonts w:ascii="Arial" w:hAnsi="Arial" w:cs="Arial"/>
        </w:rPr>
        <w:t xml:space="preserve">) high-throughput microfluidic chip system are available for running 48x48 (2,304 PCR data points in one chip) and 96x96 (9,216 PCR data points), among other types of microfluidic PCR chips. The </w:t>
      </w:r>
      <w:proofErr w:type="spellStart"/>
      <w:r w:rsidR="00F04F90" w:rsidRPr="00F04F90">
        <w:rPr>
          <w:rFonts w:ascii="Arial" w:hAnsi="Arial" w:cs="Arial"/>
        </w:rPr>
        <w:t>Visium</w:t>
      </w:r>
      <w:proofErr w:type="spellEnd"/>
      <w:r w:rsidR="00F04F90" w:rsidRPr="00F04F90">
        <w:rPr>
          <w:rFonts w:ascii="Arial" w:hAnsi="Arial" w:cs="Arial"/>
        </w:rPr>
        <w:t xml:space="preserve"> spatial transcriptomic profiling system (10X Genomics) has been established at </w:t>
      </w:r>
      <w:proofErr w:type="spellStart"/>
      <w:r w:rsidR="00F04F90" w:rsidRPr="00F04F90">
        <w:rPr>
          <w:rFonts w:ascii="Arial" w:hAnsi="Arial" w:cs="Arial"/>
        </w:rPr>
        <w:t>BASiC</w:t>
      </w:r>
      <w:proofErr w:type="spellEnd"/>
      <w:r w:rsidR="00F04F90" w:rsidRPr="00F04F90">
        <w:rPr>
          <w:rFonts w:ascii="Arial" w:hAnsi="Arial" w:cs="Arial"/>
        </w:rPr>
        <w:t xml:space="preserve"> for </w:t>
      </w:r>
      <w:r w:rsidR="00F04F90">
        <w:rPr>
          <w:rFonts w:ascii="Arial" w:hAnsi="Arial" w:cs="Arial"/>
        </w:rPr>
        <w:t xml:space="preserve">the </w:t>
      </w:r>
      <w:r w:rsidR="00F04F90" w:rsidRPr="00F04F90">
        <w:rPr>
          <w:rFonts w:ascii="Arial" w:hAnsi="Arial" w:cs="Arial"/>
        </w:rPr>
        <w:t xml:space="preserve">integration of spatial imaging of tissue </w:t>
      </w:r>
      <w:r w:rsidR="00F04F90">
        <w:rPr>
          <w:rFonts w:ascii="Arial" w:hAnsi="Arial" w:cs="Arial"/>
        </w:rPr>
        <w:t xml:space="preserve">sections </w:t>
      </w:r>
      <w:r w:rsidR="00F04F90" w:rsidRPr="00F04F90">
        <w:rPr>
          <w:rFonts w:ascii="Arial" w:hAnsi="Arial" w:cs="Arial"/>
        </w:rPr>
        <w:t xml:space="preserve">and RNA-seq (in collaboration with the Next-Generation Sequencing Core). Atomic force microscopy (AFM) is also at hand for examining nanomechanical features of individual cells (e.g., cell elasticity, adhesiveness, and deformability) and </w:t>
      </w:r>
      <w:proofErr w:type="spellStart"/>
      <w:r w:rsidR="00F04F90" w:rsidRPr="00F04F90">
        <w:rPr>
          <w:rFonts w:ascii="Arial" w:hAnsi="Arial" w:cs="Arial"/>
        </w:rPr>
        <w:t>chemobiologic</w:t>
      </w:r>
      <w:proofErr w:type="spellEnd"/>
      <w:r w:rsidR="00F04F90" w:rsidRPr="00F04F90">
        <w:rPr>
          <w:rFonts w:ascii="Arial" w:hAnsi="Arial" w:cs="Arial"/>
        </w:rPr>
        <w:t xml:space="preserve"> detection/distribution of cell surface markers. The </w:t>
      </w:r>
      <w:proofErr w:type="spellStart"/>
      <w:r w:rsidR="00F04F90" w:rsidRPr="00F04F90">
        <w:rPr>
          <w:rFonts w:ascii="Arial" w:hAnsi="Arial" w:cs="Arial"/>
        </w:rPr>
        <w:t>BASiC</w:t>
      </w:r>
      <w:proofErr w:type="spellEnd"/>
      <w:r w:rsidR="00F04F90" w:rsidRPr="00F04F90">
        <w:rPr>
          <w:rFonts w:ascii="Arial" w:hAnsi="Arial" w:cs="Arial"/>
        </w:rPr>
        <w:t xml:space="preserve"> core also incorporates the Helios </w:t>
      </w:r>
      <w:proofErr w:type="spellStart"/>
      <w:r w:rsidR="00F04F90" w:rsidRPr="00F04F90">
        <w:rPr>
          <w:rFonts w:ascii="Arial" w:hAnsi="Arial" w:cs="Arial"/>
        </w:rPr>
        <w:t>CyTOF</w:t>
      </w:r>
      <w:proofErr w:type="spellEnd"/>
      <w:r w:rsidR="00F04F90" w:rsidRPr="00F04F90">
        <w:rPr>
          <w:rFonts w:ascii="Arial" w:hAnsi="Arial" w:cs="Arial"/>
        </w:rPr>
        <w:t xml:space="preserve"> platform for single-cell proteomics. The core has a wide range of </w:t>
      </w:r>
      <w:proofErr w:type="spellStart"/>
      <w:r w:rsidR="00F04F90" w:rsidRPr="00F04F90">
        <w:rPr>
          <w:rFonts w:ascii="Arial" w:hAnsi="Arial" w:cs="Arial"/>
        </w:rPr>
        <w:t>CyTOF</w:t>
      </w:r>
      <w:proofErr w:type="spellEnd"/>
      <w:r w:rsidR="00F04F90" w:rsidRPr="00F04F90">
        <w:rPr>
          <w:rFonts w:ascii="Arial" w:hAnsi="Arial" w:cs="Arial"/>
        </w:rPr>
        <w:t xml:space="preserve">-validated metal-conjugated antibody panels as well as the capacity to generate custom metal-conjugated antibody panels. Additional instrumentation </w:t>
      </w:r>
      <w:proofErr w:type="gramStart"/>
      <w:r w:rsidR="00F04F90" w:rsidRPr="00F04F90">
        <w:rPr>
          <w:rFonts w:ascii="Arial" w:hAnsi="Arial" w:cs="Arial"/>
        </w:rPr>
        <w:t>include</w:t>
      </w:r>
      <w:proofErr w:type="gramEnd"/>
      <w:r w:rsidR="00F04F90" w:rsidRPr="00F04F90">
        <w:rPr>
          <w:rFonts w:ascii="Arial" w:hAnsi="Arial" w:cs="Arial"/>
        </w:rPr>
        <w:t xml:space="preserve"> the </w:t>
      </w:r>
      <w:proofErr w:type="spellStart"/>
      <w:r w:rsidR="00F04F90" w:rsidRPr="00F04F90">
        <w:rPr>
          <w:rFonts w:ascii="Arial" w:hAnsi="Arial" w:cs="Arial"/>
        </w:rPr>
        <w:t>FlexMAp</w:t>
      </w:r>
      <w:proofErr w:type="spellEnd"/>
      <w:r w:rsidR="00F04F90" w:rsidRPr="00F04F90">
        <w:rPr>
          <w:rFonts w:ascii="Arial" w:hAnsi="Arial" w:cs="Arial"/>
        </w:rPr>
        <w:t xml:space="preserve"> Luminex multiplexing system, </w:t>
      </w:r>
      <w:r w:rsidR="00987D64">
        <w:rPr>
          <w:rFonts w:ascii="Arial" w:hAnsi="Arial" w:cs="Arial"/>
        </w:rPr>
        <w:t>c</w:t>
      </w:r>
      <w:r w:rsidR="00F04F90" w:rsidRPr="00F04F90">
        <w:rPr>
          <w:rFonts w:ascii="Arial" w:hAnsi="Arial" w:cs="Arial"/>
        </w:rPr>
        <w:t xml:space="preserve">apillary automated Western Blot system, and the </w:t>
      </w:r>
      <w:proofErr w:type="spellStart"/>
      <w:r w:rsidR="00F04F90" w:rsidRPr="00F04F90">
        <w:rPr>
          <w:rFonts w:ascii="Arial" w:hAnsi="Arial" w:cs="Arial"/>
        </w:rPr>
        <w:t>Disgenode</w:t>
      </w:r>
      <w:proofErr w:type="spellEnd"/>
      <w:r w:rsidR="00F04F90" w:rsidRPr="00F04F90">
        <w:rPr>
          <w:rFonts w:ascii="Arial" w:hAnsi="Arial" w:cs="Arial"/>
        </w:rPr>
        <w:t xml:space="preserve"> SX-8G IP-Star robotic for automated </w:t>
      </w:r>
      <w:proofErr w:type="spellStart"/>
      <w:r w:rsidR="00F04F90" w:rsidRPr="00F04F90">
        <w:rPr>
          <w:rFonts w:ascii="Arial" w:hAnsi="Arial" w:cs="Arial"/>
        </w:rPr>
        <w:t>ChIP</w:t>
      </w:r>
      <w:proofErr w:type="spellEnd"/>
      <w:r w:rsidR="00F04F90" w:rsidRPr="00F04F90">
        <w:rPr>
          <w:rFonts w:ascii="Arial" w:hAnsi="Arial" w:cs="Arial"/>
        </w:rPr>
        <w:t xml:space="preserve">-seq, </w:t>
      </w:r>
      <w:proofErr w:type="spellStart"/>
      <w:r w:rsidR="00F04F90" w:rsidRPr="00F04F90">
        <w:rPr>
          <w:rFonts w:ascii="Arial" w:hAnsi="Arial" w:cs="Arial"/>
        </w:rPr>
        <w:t>MBDCAp</w:t>
      </w:r>
      <w:proofErr w:type="spellEnd"/>
      <w:r w:rsidR="00F04F90" w:rsidRPr="00F04F90">
        <w:rPr>
          <w:rFonts w:ascii="Arial" w:hAnsi="Arial" w:cs="Arial"/>
        </w:rPr>
        <w:t xml:space="preserve">-seq and other sequencing library construction. The pyrosequencing unit, </w:t>
      </w:r>
      <w:proofErr w:type="spellStart"/>
      <w:r w:rsidR="00F04F90" w:rsidRPr="00F04F90">
        <w:rPr>
          <w:rFonts w:ascii="Arial" w:hAnsi="Arial" w:cs="Arial"/>
        </w:rPr>
        <w:t>PyroMark</w:t>
      </w:r>
      <w:proofErr w:type="spellEnd"/>
      <w:r w:rsidR="00F04F90" w:rsidRPr="00F04F90">
        <w:rPr>
          <w:rFonts w:ascii="Arial" w:hAnsi="Arial" w:cs="Arial"/>
        </w:rPr>
        <w:t xml:space="preserve"> Q48 (Qiagen), is also available for high-throughput genetic and epigenetic analyses of candidate genes. In-house bioinformaticians specialized in single-cell analysis are available to help with study design, data analysis, and generation of publication-ready figures.</w:t>
      </w:r>
    </w:p>
    <w:p w14:paraId="3BFFD483" w14:textId="1CD491BC" w:rsidR="00D056C7" w:rsidRPr="00643880" w:rsidRDefault="00C27AC2" w:rsidP="00643880">
      <w:pPr>
        <w:pStyle w:val="NoSpacing"/>
        <w:jc w:val="both"/>
        <w:rPr>
          <w:rFonts w:ascii="Arial" w:hAnsi="Arial" w:cs="Arial"/>
        </w:rPr>
      </w:pPr>
    </w:p>
    <w:sectPr w:rsidR="00D056C7" w:rsidRPr="00643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880"/>
    <w:rsid w:val="001F1D6C"/>
    <w:rsid w:val="003B65D8"/>
    <w:rsid w:val="00542EDD"/>
    <w:rsid w:val="00643880"/>
    <w:rsid w:val="007B70B1"/>
    <w:rsid w:val="00810E92"/>
    <w:rsid w:val="00987D64"/>
    <w:rsid w:val="00AA2169"/>
    <w:rsid w:val="00C27AC2"/>
    <w:rsid w:val="00F0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2C48C"/>
  <w15:chartTrackingRefBased/>
  <w15:docId w15:val="{98EE1B9D-B743-4C90-A02A-A9E50873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8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Kirma, Nameer B</dc:creator>
  <cp:keywords/>
  <dc:description/>
  <cp:lastModifiedBy>Kirma, Nameer B</cp:lastModifiedBy>
  <cp:revision>7</cp:revision>
  <dcterms:created xsi:type="dcterms:W3CDTF">2021-05-20T19:15:00Z</dcterms:created>
  <dcterms:modified xsi:type="dcterms:W3CDTF">2021-05-20T19:46:00Z</dcterms:modified>
</cp:coreProperties>
</file>