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CellSpacing w:w="0" w:type="dxa"/>
        <w:shd w:val="clear" w:color="auto" w:fill="BA1323"/>
        <w:tblCellMar>
          <w:left w:w="0" w:type="dxa"/>
          <w:right w:w="0" w:type="dxa"/>
        </w:tblCellMar>
        <w:tblLook w:val="04A0" w:firstRow="1" w:lastRow="0" w:firstColumn="1" w:lastColumn="0" w:noHBand="0" w:noVBand="1"/>
      </w:tblPr>
      <w:tblGrid>
        <w:gridCol w:w="9360"/>
      </w:tblGrid>
      <w:tr w:rsidR="007F3875" w14:paraId="2AE446C9" w14:textId="77777777" w:rsidTr="007F3875">
        <w:trPr>
          <w:tblCellSpacing w:w="0" w:type="dxa"/>
          <w:jc w:val="center"/>
        </w:trPr>
        <w:tc>
          <w:tcPr>
            <w:tcW w:w="0" w:type="auto"/>
            <w:shd w:val="clear" w:color="auto" w:fill="BA1323"/>
            <w:tcMar>
              <w:top w:w="300" w:type="dxa"/>
              <w:left w:w="0" w:type="dxa"/>
              <w:bottom w:w="300" w:type="dxa"/>
              <w:right w:w="0" w:type="dxa"/>
            </w:tcMar>
            <w:hideMark/>
          </w:tcPr>
          <w:tbl>
            <w:tblPr>
              <w:tblW w:w="12000" w:type="dxa"/>
              <w:jc w:val="center"/>
              <w:tblCellSpacing w:w="0" w:type="dxa"/>
              <w:tblCellMar>
                <w:left w:w="0" w:type="dxa"/>
                <w:right w:w="0" w:type="dxa"/>
              </w:tblCellMar>
              <w:tblLook w:val="04A0" w:firstRow="1" w:lastRow="0" w:firstColumn="1" w:lastColumn="0" w:noHBand="0" w:noVBand="1"/>
            </w:tblPr>
            <w:tblGrid>
              <w:gridCol w:w="12000"/>
            </w:tblGrid>
            <w:tr w:rsidR="007F3875" w14:paraId="27CDE3DB" w14:textId="77777777">
              <w:trPr>
                <w:tblCellSpacing w:w="0" w:type="dxa"/>
                <w:jc w:val="center"/>
              </w:trPr>
              <w:tc>
                <w:tcPr>
                  <w:tcW w:w="5000" w:type="pct"/>
                  <w:hideMark/>
                </w:tcPr>
                <w:p w14:paraId="115FEB2D" w14:textId="77777777" w:rsidR="007F3875" w:rsidRDefault="007F3875"/>
              </w:tc>
            </w:tr>
            <w:tr w:rsidR="007F3875" w14:paraId="45E31979" w14:textId="77777777">
              <w:trPr>
                <w:tblCellSpacing w:w="0" w:type="dxa"/>
                <w:jc w:val="center"/>
              </w:trPr>
              <w:tc>
                <w:tcPr>
                  <w:tcW w:w="0" w:type="auto"/>
                  <w:shd w:val="clear" w:color="auto" w:fill="490914"/>
                  <w:tcMar>
                    <w:top w:w="15" w:type="dxa"/>
                    <w:left w:w="15" w:type="dxa"/>
                    <w:bottom w:w="15"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1970"/>
                  </w:tblGrid>
                  <w:tr w:rsidR="007F3875" w14:paraId="54660404" w14:textId="77777777">
                    <w:trPr>
                      <w:tblCellSpacing w:w="0" w:type="dxa"/>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11970"/>
                        </w:tblGrid>
                        <w:tr w:rsidR="007F3875" w14:paraId="5FE359C5" w14:textId="77777777">
                          <w:trPr>
                            <w:tblCellSpacing w:w="0" w:type="dxa"/>
                            <w:jc w:val="center"/>
                          </w:trPr>
                          <w:tc>
                            <w:tcPr>
                              <w:tcW w:w="0" w:type="auto"/>
                              <w:tcMar>
                                <w:top w:w="75" w:type="dxa"/>
                                <w:left w:w="75" w:type="dxa"/>
                                <w:bottom w:w="75" w:type="dxa"/>
                                <w:right w:w="75" w:type="dxa"/>
                              </w:tcMar>
                              <w:vAlign w:val="center"/>
                              <w:hideMark/>
                            </w:tcPr>
                            <w:p w14:paraId="20AB1F7A" w14:textId="05FF8EB5" w:rsidR="007F3875" w:rsidRDefault="007F3875">
                              <w:pPr>
                                <w:spacing w:after="240"/>
                                <w:rPr>
                                  <w:color w:val="000000"/>
                                </w:rPr>
                              </w:pPr>
                              <w:r>
                                <w:rPr>
                                  <w:noProof/>
                                  <w:color w:val="000000"/>
                                </w:rPr>
                                <w:drawing>
                                  <wp:inline distT="0" distB="0" distL="0" distR="0" wp14:anchorId="262F165D" wp14:editId="6CD795BD">
                                    <wp:extent cx="7150100" cy="2689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50100" cy="2689225"/>
                                            </a:xfrm>
                                            <a:prstGeom prst="rect">
                                              <a:avLst/>
                                            </a:prstGeom>
                                            <a:noFill/>
                                            <a:ln>
                                              <a:noFill/>
                                            </a:ln>
                                          </pic:spPr>
                                        </pic:pic>
                                      </a:graphicData>
                                    </a:graphic>
                                  </wp:inline>
                                </w:drawing>
                              </w:r>
                            </w:p>
                          </w:tc>
                        </w:tr>
                      </w:tbl>
                      <w:p w14:paraId="2FF7BB3A" w14:textId="77777777" w:rsidR="007F3875" w:rsidRDefault="007F3875">
                        <w:pPr>
                          <w:jc w:val="center"/>
                          <w:rPr>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970"/>
                        </w:tblGrid>
                        <w:tr w:rsidR="007F3875" w14:paraId="41F65A34" w14:textId="77777777">
                          <w:trPr>
                            <w:tblCellSpacing w:w="0" w:type="dxa"/>
                            <w:jc w:val="center"/>
                          </w:trPr>
                          <w:tc>
                            <w:tcPr>
                              <w:tcW w:w="0" w:type="auto"/>
                              <w:shd w:val="clear" w:color="auto" w:fill="FFFFFF"/>
                              <w:tcMar>
                                <w:top w:w="75" w:type="dxa"/>
                                <w:left w:w="75" w:type="dxa"/>
                                <w:bottom w:w="75" w:type="dxa"/>
                                <w:right w:w="75" w:type="dxa"/>
                              </w:tcMar>
                            </w:tcPr>
                            <w:p w14:paraId="4DD65FAF" w14:textId="77777777" w:rsidR="007F3875" w:rsidRDefault="007F3875">
                              <w:pPr>
                                <w:rPr>
                                  <w:color w:val="000000"/>
                                </w:rPr>
                              </w:pPr>
                              <w:r>
                                <w:rPr>
                                  <w:rStyle w:val="Emphasis"/>
                                  <w:color w:val="000000"/>
                                </w:rPr>
                                <w:t>VPR Team - </w:t>
                              </w:r>
                            </w:p>
                            <w:p w14:paraId="34219E95" w14:textId="77777777" w:rsidR="007F3875" w:rsidRDefault="007F3875">
                              <w:pPr>
                                <w:rPr>
                                  <w:color w:val="000000"/>
                                </w:rPr>
                              </w:pPr>
                            </w:p>
                            <w:p w14:paraId="08CD8416" w14:textId="77777777" w:rsidR="007F3875" w:rsidRDefault="007F3875">
                              <w:pPr>
                                <w:rPr>
                                  <w:color w:val="000000"/>
                                </w:rPr>
                              </w:pPr>
                              <w:r>
                                <w:rPr>
                                  <w:rStyle w:val="Emphasis"/>
                                  <w:color w:val="000000"/>
                                </w:rPr>
                                <w:t>As we wind down 2020, it might be difficult to recall anything beyond the cloud that COVID-19 has cast over us and the entire world. Everybody has been touched by this pandemic in so many ways. Despite these unprecedented circumstances, we have continued to excel and advance the research mission with incredible determination. I have seen many of you looking at this pandemic as an opportunity to foster innovation and improve processes and operations, and I am deeply grateful for your adaptability and contribution to the success of our enterprise. </w:t>
                              </w:r>
                            </w:p>
                            <w:p w14:paraId="4F50FE2F" w14:textId="77777777" w:rsidR="007F3875" w:rsidRDefault="007F3875">
                              <w:pPr>
                                <w:rPr>
                                  <w:color w:val="000000"/>
                                </w:rPr>
                              </w:pPr>
                              <w:r>
                                <w:rPr>
                                  <w:rStyle w:val="Emphasis"/>
                                  <w:color w:val="000000"/>
                                </w:rPr>
                                <w:t> </w:t>
                              </w:r>
                            </w:p>
                            <w:p w14:paraId="713421C5" w14:textId="77777777" w:rsidR="007F3875" w:rsidRDefault="007F3875">
                              <w:pPr>
                                <w:rPr>
                                  <w:color w:val="000000"/>
                                </w:rPr>
                              </w:pPr>
                              <w:r>
                                <w:rPr>
                                  <w:rStyle w:val="Emphasis"/>
                                  <w:color w:val="000000"/>
                                </w:rPr>
                                <w:t>At the beginning of the year, our office effectively guided our faculty and research community through a series of safety measures that required "shelter in home" and an initial scale-down of research activities. This was followed by a gradual ramp-up in early May, and several virtual meetings and town halls with chairs, faculty, staff and trainees to answer questions and address obstacles to resume research operations. Although vaccines are finally coming and bringing hope and optimism, many of us will continue to work from home for a while. Nevertheless, this "new normal" has not impacted our productivity and commitment. Indeed, through our support, all schools across UTHSA have been able to increase their research portfolios and the number of sponsored program awards and clinical trials.</w:t>
                              </w:r>
                            </w:p>
                            <w:p w14:paraId="78007474" w14:textId="77777777" w:rsidR="007F3875" w:rsidRDefault="007F3875">
                              <w:pPr>
                                <w:rPr>
                                  <w:color w:val="000000"/>
                                </w:rPr>
                              </w:pPr>
                              <w:r>
                                <w:rPr>
                                  <w:rStyle w:val="Emphasis"/>
                                  <w:color w:val="000000"/>
                                </w:rPr>
                                <w:t> </w:t>
                              </w:r>
                            </w:p>
                            <w:p w14:paraId="448089F1" w14:textId="77777777" w:rsidR="007F3875" w:rsidRDefault="007F3875">
                              <w:pPr>
                                <w:rPr>
                                  <w:color w:val="000000"/>
                                </w:rPr>
                              </w:pPr>
                              <w:r>
                                <w:rPr>
                                  <w:rStyle w:val="Emphasis"/>
                                  <w:color w:val="000000"/>
                                </w:rPr>
                                <w:t>I feel privileged to work with all of you to further develop this complex research infrastructure that is so critical to build a better tomorrow. Please take a minute to go over our major accomplishments in FY2020. You should take pride in your success and ability to go beyond all the goals we set up at the beginning of each year, pushing the bar higher and higher.</w:t>
                              </w:r>
                            </w:p>
                            <w:p w14:paraId="1238A983" w14:textId="77777777" w:rsidR="007F3875" w:rsidRDefault="007F3875">
                              <w:pPr>
                                <w:rPr>
                                  <w:color w:val="000000"/>
                                </w:rPr>
                              </w:pPr>
                              <w:r>
                                <w:rPr>
                                  <w:rStyle w:val="Emphasis"/>
                                  <w:color w:val="000000"/>
                                </w:rPr>
                                <w:t> </w:t>
                              </w:r>
                            </w:p>
                            <w:p w14:paraId="22CBBA98" w14:textId="77777777" w:rsidR="007F3875" w:rsidRDefault="007F3875">
                              <w:pPr>
                                <w:rPr>
                                  <w:color w:val="000000"/>
                                </w:rPr>
                              </w:pPr>
                              <w:r>
                                <w:rPr>
                                  <w:rStyle w:val="Emphasis"/>
                                  <w:color w:val="000000"/>
                                </w:rPr>
                                <w:t>This year, unlike any other, also reminded us how grateful we should be to our families, friends and communities which provide an amazing collective strength to persevere and navigate through adversities. I hope you will find the time during these holidays to celebrate these remarkable achievements with all of them (in a safe way!).</w:t>
                              </w:r>
                            </w:p>
                            <w:p w14:paraId="7CC20EF0" w14:textId="77777777" w:rsidR="007F3875" w:rsidRDefault="007F3875">
                              <w:pPr>
                                <w:rPr>
                                  <w:color w:val="000000"/>
                                </w:rPr>
                              </w:pPr>
                              <w:r>
                                <w:rPr>
                                  <w:rStyle w:val="Emphasis"/>
                                  <w:color w:val="000000"/>
                                </w:rPr>
                                <w:t> </w:t>
                              </w:r>
                            </w:p>
                            <w:p w14:paraId="3BC41675" w14:textId="77777777" w:rsidR="007F3875" w:rsidRDefault="007F3875">
                              <w:pPr>
                                <w:rPr>
                                  <w:color w:val="000000"/>
                                </w:rPr>
                              </w:pPr>
                              <w:r>
                                <w:rPr>
                                  <w:rStyle w:val="Emphasis"/>
                                  <w:color w:val="000000"/>
                                </w:rPr>
                                <w:t>Happy holidays to you and your loved ones.</w:t>
                              </w:r>
                            </w:p>
                            <w:p w14:paraId="6C9E5759" w14:textId="77777777" w:rsidR="007F3875" w:rsidRDefault="007F3875">
                              <w:pPr>
                                <w:rPr>
                                  <w:color w:val="000000"/>
                                </w:rPr>
                              </w:pPr>
                              <w:r>
                                <w:rPr>
                                  <w:color w:val="000000"/>
                                </w:rPr>
                                <w:t> </w:t>
                              </w:r>
                            </w:p>
                            <w:p w14:paraId="1189F12A" w14:textId="77777777" w:rsidR="007F3875" w:rsidRDefault="007F3875">
                              <w:pPr>
                                <w:rPr>
                                  <w:color w:val="000000"/>
                                </w:rPr>
                              </w:pPr>
                              <w:r>
                                <w:rPr>
                                  <w:color w:val="000000"/>
                                </w:rPr>
                                <w:t>Andrea Giuffrida, PhD</w:t>
                              </w:r>
                            </w:p>
                            <w:p w14:paraId="73F5873C" w14:textId="77777777" w:rsidR="007F3875" w:rsidRDefault="007F3875">
                              <w:pPr>
                                <w:rPr>
                                  <w:color w:val="000000"/>
                                </w:rPr>
                              </w:pPr>
                              <w:r>
                                <w:rPr>
                                  <w:color w:val="000000"/>
                                </w:rPr>
                                <w:lastRenderedPageBreak/>
                                <w:t>Vice President for Research</w:t>
                              </w:r>
                            </w:p>
                            <w:p w14:paraId="2D5204BB" w14:textId="77777777" w:rsidR="007F3875" w:rsidRDefault="007F3875">
                              <w:pPr>
                                <w:rPr>
                                  <w:color w:val="000000"/>
                                </w:rPr>
                              </w:pPr>
                            </w:p>
                            <w:p w14:paraId="3E8C3E32" w14:textId="77777777" w:rsidR="007F3875" w:rsidRDefault="007F3875">
                              <w:pPr>
                                <w:rPr>
                                  <w:color w:val="000000"/>
                                </w:rPr>
                              </w:pPr>
                              <w:r>
                                <w:rPr>
                                  <w:color w:val="000000"/>
                                </w:rPr>
                                <w:t> ___________________________________________________________________________________________________________</w:t>
                              </w:r>
                            </w:p>
                            <w:p w14:paraId="253AC9D9" w14:textId="77777777" w:rsidR="007F3875" w:rsidRDefault="007F3875">
                              <w:pPr>
                                <w:rPr>
                                  <w:color w:val="000000"/>
                                </w:rPr>
                              </w:pPr>
                              <w:r>
                                <w:rPr>
                                  <w:color w:val="000000"/>
                                </w:rPr>
                                <w:t> </w:t>
                              </w:r>
                            </w:p>
                            <w:p w14:paraId="5B5E60D3" w14:textId="77777777" w:rsidR="007F3875" w:rsidRDefault="007F3875">
                              <w:pPr>
                                <w:jc w:val="center"/>
                                <w:rPr>
                                  <w:color w:val="000000"/>
                                  <w:sz w:val="28"/>
                                  <w:szCs w:val="28"/>
                                </w:rPr>
                              </w:pPr>
                              <w:r>
                                <w:rPr>
                                  <w:rStyle w:val="Strong"/>
                                  <w:color w:val="000000"/>
                                  <w:sz w:val="28"/>
                                  <w:szCs w:val="28"/>
                                </w:rPr>
                                <w:t>Faculty Recruitment and Support</w:t>
                              </w:r>
                            </w:p>
                            <w:p w14:paraId="4EB55412" w14:textId="77777777" w:rsidR="007F3875" w:rsidRDefault="007F3875">
                              <w:pPr>
                                <w:rPr>
                                  <w:color w:val="000000"/>
                                </w:rPr>
                              </w:pPr>
                              <w:r>
                                <w:rPr>
                                  <w:color w:val="000000"/>
                                </w:rPr>
                                <w:t> </w:t>
                              </w:r>
                            </w:p>
                            <w:p w14:paraId="1D671314" w14:textId="77777777" w:rsidR="007F3875" w:rsidRDefault="007F3875">
                              <w:pPr>
                                <w:rPr>
                                  <w:color w:val="000000"/>
                                </w:rPr>
                              </w:pPr>
                              <w:r>
                                <w:rPr>
                                  <w:color w:val="000000"/>
                                </w:rPr>
                                <w:t>The VPR Office assisted 4 faculty (Drs. Bieniek, Dahia, Sung, and Yang) to obtain UT STARs funding from UT System (over $4 million total). These funds were leveraged to: (1) create a brain and spinal cord tissue bank (including digital pathology and epidemiology services), (2) launch a precision medicine program in endocrine tumors, and (3) support multi-disciplinary teams to advance studies in genome repair, cancer biology, and myeloid malignancies. </w:t>
                              </w:r>
                            </w:p>
                            <w:p w14:paraId="1653A642" w14:textId="77777777" w:rsidR="007F3875" w:rsidRDefault="007F3875">
                              <w:pPr>
                                <w:rPr>
                                  <w:color w:val="000000"/>
                                </w:rPr>
                              </w:pPr>
                              <w:r>
                                <w:rPr>
                                  <w:color w:val="000000"/>
                                </w:rPr>
                                <w:t> </w:t>
                              </w:r>
                            </w:p>
                            <w:p w14:paraId="221DEA1A" w14:textId="77777777" w:rsidR="007F3875" w:rsidRDefault="007F3875">
                              <w:pPr>
                                <w:rPr>
                                  <w:color w:val="000000"/>
                                </w:rPr>
                              </w:pPr>
                              <w:r>
                                <w:rPr>
                                  <w:color w:val="000000"/>
                                </w:rPr>
                                <w:t xml:space="preserve">We also assisted 11 junior investigators to submit proposals for the </w:t>
                              </w:r>
                              <w:proofErr w:type="spellStart"/>
                              <w:r>
                                <w:rPr>
                                  <w:color w:val="000000"/>
                                </w:rPr>
                                <w:t>Voelcker</w:t>
                              </w:r>
                              <w:proofErr w:type="spellEnd"/>
                              <w:r>
                                <w:rPr>
                                  <w:color w:val="000000"/>
                                </w:rPr>
                                <w:t xml:space="preserve"> Young Investigator Awards (YIA). Three of last year applicants (Drs. Zhao, Chen and Taverna) received a YIA award in 2020 for a total of $650,000.</w:t>
                              </w:r>
                            </w:p>
                            <w:p w14:paraId="70AA9CCB" w14:textId="77777777" w:rsidR="007F3875" w:rsidRDefault="007F3875">
                              <w:pPr>
                                <w:rPr>
                                  <w:color w:val="000000"/>
                                </w:rPr>
                              </w:pPr>
                            </w:p>
                            <w:p w14:paraId="5C4DFE2C" w14:textId="77777777" w:rsidR="007F3875" w:rsidRDefault="007F3875">
                              <w:pPr>
                                <w:rPr>
                                  <w:color w:val="000000"/>
                                </w:rPr>
                              </w:pPr>
                              <w:r>
                                <w:rPr>
                                  <w:color w:val="000000"/>
                                </w:rPr>
                                <w:t xml:space="preserve">In collaboration with the Offices of Recruitment and Science Outreach and Postdoctoral Affairs, we successfully renewed the </w:t>
                              </w:r>
                              <w:hyperlink r:id="rId5" w:tgtFrame="_blank" w:history="1">
                                <w:proofErr w:type="spellStart"/>
                                <w:r>
                                  <w:rPr>
                                    <w:rStyle w:val="Hyperlink"/>
                                  </w:rPr>
                                  <w:t>Voelcker</w:t>
                                </w:r>
                                <w:proofErr w:type="spellEnd"/>
                                <w:r>
                                  <w:rPr>
                                    <w:rStyle w:val="Hyperlink"/>
                                  </w:rPr>
                                  <w:t xml:space="preserve"> Biomedical Research Academy</w:t>
                                </w:r>
                              </w:hyperlink>
                              <w:r>
                                <w:rPr>
                                  <w:color w:val="000000"/>
                                </w:rPr>
                                <w:t xml:space="preserve"> grant ($652,000) which will enable a multi-year research training in biomedical sciences of highly competitive high school students in preparation for their transition to college.</w:t>
                              </w:r>
                            </w:p>
                            <w:p w14:paraId="371CC383" w14:textId="77777777" w:rsidR="007F3875" w:rsidRDefault="007F3875">
                              <w:pPr>
                                <w:rPr>
                                  <w:color w:val="000000"/>
                                </w:rPr>
                              </w:pPr>
                            </w:p>
                            <w:p w14:paraId="65855726" w14:textId="77777777" w:rsidR="007F3875" w:rsidRDefault="007F3875">
                              <w:pPr>
                                <w:rPr>
                                  <w:color w:val="000000"/>
                                </w:rPr>
                              </w:pPr>
                              <w:r>
                                <w:rPr>
                                  <w:color w:val="000000"/>
                                </w:rPr>
                                <w:t> </w:t>
                              </w:r>
                            </w:p>
                            <w:p w14:paraId="476D2F7C" w14:textId="77777777" w:rsidR="007F3875" w:rsidRDefault="007F3875">
                              <w:pPr>
                                <w:jc w:val="center"/>
                                <w:rPr>
                                  <w:color w:val="000000"/>
                                  <w:sz w:val="28"/>
                                  <w:szCs w:val="28"/>
                                </w:rPr>
                              </w:pPr>
                              <w:r>
                                <w:rPr>
                                  <w:rStyle w:val="Strong"/>
                                  <w:color w:val="000000"/>
                                  <w:sz w:val="28"/>
                                  <w:szCs w:val="28"/>
                                </w:rPr>
                                <w:t>Research Infrastructure</w:t>
                              </w:r>
                            </w:p>
                            <w:p w14:paraId="42C38A5A" w14:textId="77777777" w:rsidR="007F3875" w:rsidRDefault="007F3875">
                              <w:pPr>
                                <w:rPr>
                                  <w:color w:val="000000"/>
                                  <w:sz w:val="28"/>
                                  <w:szCs w:val="28"/>
                                </w:rPr>
                              </w:pPr>
                              <w:r>
                                <w:rPr>
                                  <w:color w:val="000000"/>
                                  <w:sz w:val="28"/>
                                  <w:szCs w:val="28"/>
                                </w:rPr>
                                <w:t> </w:t>
                              </w:r>
                            </w:p>
                            <w:p w14:paraId="629F8485" w14:textId="77777777" w:rsidR="007F3875" w:rsidRDefault="007F3875">
                              <w:pPr>
                                <w:rPr>
                                  <w:color w:val="000000"/>
                                </w:rPr>
                              </w:pPr>
                              <w:r>
                                <w:rPr>
                                  <w:color w:val="000000"/>
                                </w:rPr>
                                <w:t xml:space="preserve">The </w:t>
                              </w:r>
                              <w:r>
                                <w:rPr>
                                  <w:rStyle w:val="Strong"/>
                                  <w:color w:val="000000"/>
                                </w:rPr>
                                <w:t>VPR Strategic Fund</w:t>
                              </w:r>
                              <w:r>
                                <w:rPr>
                                  <w:color w:val="000000"/>
                                </w:rPr>
                                <w:t xml:space="preserve"> ($500K/year) supported numerous initiatives including incentives for T32 directors and IRB/IACUC/COI committees, acquisition of software/platforms (SurveyMonkey Apply, DocuSign, etc.), matching funds for large institutional grants, and covered some of the costs of DLAR renovations.</w:t>
                              </w:r>
                            </w:p>
                            <w:p w14:paraId="1CABDCC0" w14:textId="77777777" w:rsidR="007F3875" w:rsidRDefault="007F3875">
                              <w:pPr>
                                <w:rPr>
                                  <w:color w:val="000000"/>
                                </w:rPr>
                              </w:pPr>
                              <w:r>
                                <w:rPr>
                                  <w:color w:val="000000"/>
                                </w:rPr>
                                <w:t> </w:t>
                              </w:r>
                            </w:p>
                            <w:p w14:paraId="084083F3" w14:textId="77777777" w:rsidR="007F3875" w:rsidRDefault="007F3875">
                              <w:pPr>
                                <w:rPr>
                                  <w:color w:val="000000"/>
                                </w:rPr>
                              </w:pPr>
                              <w:r>
                                <w:rPr>
                                  <w:rStyle w:val="Strong"/>
                                  <w:color w:val="000000"/>
                                </w:rPr>
                                <w:t>University Research Council (URC)</w:t>
                              </w:r>
                              <w:r>
                                <w:rPr>
                                  <w:color w:val="000000"/>
                                </w:rPr>
                                <w:t xml:space="preserve"> funds ($172K/year) were disbursed to support pilot grants from the Parkinson's Disease Center of Excellence, CTSA pilots (including COVID-19 pilots), School of Dentistry Research Clusters and School of Nursing research initiatives.</w:t>
                              </w:r>
                            </w:p>
                            <w:p w14:paraId="2E12BEB8" w14:textId="77777777" w:rsidR="007F3875" w:rsidRDefault="007F3875">
                              <w:pPr>
                                <w:rPr>
                                  <w:color w:val="000000"/>
                                </w:rPr>
                              </w:pPr>
                              <w:r>
                                <w:rPr>
                                  <w:color w:val="000000"/>
                                </w:rPr>
                                <w:t> </w:t>
                              </w:r>
                            </w:p>
                            <w:p w14:paraId="202B7096" w14:textId="77777777" w:rsidR="007F3875" w:rsidRDefault="007F3875">
                              <w:pPr>
                                <w:rPr>
                                  <w:color w:val="000000"/>
                                </w:rPr>
                              </w:pPr>
                              <w:r>
                                <w:rPr>
                                  <w:rStyle w:val="Strong"/>
                                  <w:color w:val="000000"/>
                                </w:rPr>
                                <w:t>DLAR</w:t>
                              </w:r>
                              <w:r>
                                <w:rPr>
                                  <w:color w:val="000000"/>
                                </w:rPr>
                                <w:t xml:space="preserve"> completed the construction of 3 new procedure rooms in the STRF, coordinated renovations and acquisition of new instrumentation for the BSL3 facility to accommodate COVID-related research projects, and completed a 5-year plan for future investments in DLAR infrastructure. Throughout the pandemic, all DLAR staff worked relentlessly in-person to guarantee business continuation.</w:t>
                              </w:r>
                            </w:p>
                            <w:p w14:paraId="3D8AF8DE" w14:textId="77777777" w:rsidR="007F3875" w:rsidRDefault="007F3875">
                              <w:pPr>
                                <w:rPr>
                                  <w:color w:val="000000"/>
                                </w:rPr>
                              </w:pPr>
                              <w:r>
                                <w:rPr>
                                  <w:color w:val="000000"/>
                                </w:rPr>
                                <w:t> </w:t>
                              </w:r>
                            </w:p>
                            <w:p w14:paraId="177A3657" w14:textId="77777777" w:rsidR="007F3875" w:rsidRDefault="007F3875">
                              <w:pPr>
                                <w:rPr>
                                  <w:color w:val="000000"/>
                                </w:rPr>
                              </w:pPr>
                              <w:r>
                                <w:rPr>
                                  <w:rStyle w:val="Strong"/>
                                  <w:color w:val="000000"/>
                                </w:rPr>
                                <w:t xml:space="preserve">Research IT </w:t>
                              </w:r>
                              <w:r>
                                <w:rPr>
                                  <w:color w:val="000000"/>
                                </w:rPr>
                                <w:t xml:space="preserve">continued to support our offices and research community by converting the software used by the IRB and OCR to manage their business processes, updated the Online Research Compliance Assistant (ORCA) used by the IACUC and DLAR, automatized the data captured from </w:t>
                              </w:r>
                              <w:hyperlink r:id="rId6" w:tgtFrame="_blank" w:history="1">
                                <w:r>
                                  <w:rPr>
                                    <w:rStyle w:val="Hyperlink"/>
                                  </w:rPr>
                                  <w:t>ClinicalTrials.gov</w:t>
                                </w:r>
                              </w:hyperlink>
                              <w:r>
                                <w:rPr>
                                  <w:color w:val="000000"/>
                                </w:rPr>
                                <w:t xml:space="preserve"> by </w:t>
                              </w:r>
                              <w:hyperlink r:id="rId7" w:tgtFrame="_blank" w:history="1">
                                <w:proofErr w:type="spellStart"/>
                                <w:r>
                                  <w:rPr>
                                    <w:rStyle w:val="Hyperlink"/>
                                  </w:rPr>
                                  <w:t>FindAStudy</w:t>
                                </w:r>
                                <w:proofErr w:type="spellEnd"/>
                              </w:hyperlink>
                              <w:r>
                                <w:rPr>
                                  <w:color w:val="000000"/>
                                </w:rPr>
                                <w:t xml:space="preserve">, provided clinical trial information for the new </w:t>
                              </w:r>
                              <w:hyperlink r:id="rId8" w:tgtFrame="_blank" w:history="1">
                                <w:r>
                                  <w:rPr>
                                    <w:rStyle w:val="Hyperlink"/>
                                  </w:rPr>
                                  <w:t>Cancer Center</w:t>
                                </w:r>
                              </w:hyperlink>
                              <w:r>
                                <w:rPr>
                                  <w:color w:val="000000"/>
                                </w:rPr>
                                <w:t xml:space="preserve"> website, and designed solutions for regulatory committee management and approval processes. They also interfaced the PURE database to PeopleSoft to increase dashboard functionality, and updated </w:t>
                              </w:r>
                              <w:proofErr w:type="spellStart"/>
                              <w:r>
                                <w:rPr>
                                  <w:color w:val="000000"/>
                                </w:rPr>
                                <w:t>iDisclose</w:t>
                              </w:r>
                              <w:proofErr w:type="spellEnd"/>
                              <w:r>
                                <w:rPr>
                                  <w:color w:val="000000"/>
                                </w:rPr>
                                <w:t xml:space="preserve"> to improve reporting on affiliations to foreign entities, time effort and compensation from outside activities. </w:t>
                              </w:r>
                            </w:p>
                            <w:p w14:paraId="46836B57" w14:textId="77777777" w:rsidR="007F3875" w:rsidRDefault="007F3875">
                              <w:pPr>
                                <w:rPr>
                                  <w:color w:val="000000"/>
                                </w:rPr>
                              </w:pPr>
                              <w:r>
                                <w:rPr>
                                  <w:color w:val="000000"/>
                                </w:rPr>
                                <w:t> </w:t>
                              </w:r>
                            </w:p>
                            <w:p w14:paraId="3AB9CA3D" w14:textId="77777777" w:rsidR="007F3875" w:rsidRDefault="007F3875">
                              <w:pPr>
                                <w:rPr>
                                  <w:color w:val="000000"/>
                                </w:rPr>
                              </w:pPr>
                              <w:r>
                                <w:rPr>
                                  <w:rStyle w:val="Strong"/>
                                  <w:color w:val="000000"/>
                                </w:rPr>
                                <w:t>Institutional Research Cores</w:t>
                              </w:r>
                              <w:r>
                                <w:rPr>
                                  <w:color w:val="000000"/>
                                </w:rPr>
                                <w:t xml:space="preserve"> completed the renovations and launch of a new </w:t>
                              </w:r>
                              <w:hyperlink r:id="rId9" w:tgtFrame="_blank" w:history="1">
                                <w:r>
                                  <w:rPr>
                                    <w:rStyle w:val="Hyperlink"/>
                                  </w:rPr>
                                  <w:t>Institutional Biobank</w:t>
                                </w:r>
                              </w:hyperlink>
                              <w:r>
                                <w:rPr>
                                  <w:color w:val="000000"/>
                                </w:rPr>
                                <w:t xml:space="preserve"> by leveraging funding from the </w:t>
                              </w:r>
                              <w:proofErr w:type="spellStart"/>
                              <w:r>
                                <w:rPr>
                                  <w:color w:val="000000"/>
                                </w:rPr>
                                <w:t>Kronkosky</w:t>
                              </w:r>
                              <w:proofErr w:type="spellEnd"/>
                              <w:r>
                                <w:rPr>
                                  <w:color w:val="000000"/>
                                </w:rPr>
                                <w:t xml:space="preserve"> and Barker Foundations; consolidated the NMR and X-Ray Crystallography core labs to increase efficiency and expand services to the outside community.</w:t>
                              </w:r>
                            </w:p>
                            <w:p w14:paraId="049053A4" w14:textId="77777777" w:rsidR="007F3875" w:rsidRDefault="007F3875">
                              <w:pPr>
                                <w:rPr>
                                  <w:color w:val="000000"/>
                                </w:rPr>
                              </w:pPr>
                              <w:r>
                                <w:rPr>
                                  <w:color w:val="000000"/>
                                </w:rPr>
                                <w:lastRenderedPageBreak/>
                                <w:t> </w:t>
                              </w:r>
                            </w:p>
                            <w:p w14:paraId="2FE56703" w14:textId="77777777" w:rsidR="007F3875" w:rsidRDefault="007F3875">
                              <w:pPr>
                                <w:rPr>
                                  <w:color w:val="000000"/>
                                </w:rPr>
                              </w:pPr>
                              <w:r>
                                <w:rPr>
                                  <w:rStyle w:val="Strong"/>
                                  <w:color w:val="000000"/>
                                </w:rPr>
                                <w:t>Clinical Trial/Clinical Research. </w:t>
                              </w:r>
                              <w:r>
                                <w:rPr>
                                  <w:color w:val="000000"/>
                                </w:rPr>
                                <w:t>Despite the challenges of working from home, the review and approval of animal and human research by the IACUC, DLAR, IRB, OCR and CTO staff continued at the pre-pandemic pace. New investigational COVID treatment studies were approved in record time and virtual options for in-person procedures (as well as Research Concierge, Forums, and committee meetings) were rapidly adopted to allow continuation of existing research.  A new website titled "Navigating the Research Lifecycle" will be launched in January 2021 presenting information relevant to the specific stages of research projects, from protocol development to study close out.  </w:t>
                              </w:r>
                            </w:p>
                            <w:p w14:paraId="0EADACEB" w14:textId="77777777" w:rsidR="007F3875" w:rsidRDefault="007F3875">
                              <w:pPr>
                                <w:rPr>
                                  <w:color w:val="000000"/>
                                </w:rPr>
                              </w:pPr>
                              <w:r>
                                <w:rPr>
                                  <w:color w:val="000000"/>
                                </w:rPr>
                                <w:t> </w:t>
                              </w:r>
                            </w:p>
                            <w:p w14:paraId="37CF6A25" w14:textId="77777777" w:rsidR="007F3875" w:rsidRDefault="007F3875">
                              <w:pPr>
                                <w:rPr>
                                  <w:color w:val="000000"/>
                                </w:rPr>
                              </w:pPr>
                              <w:r>
                                <w:rPr>
                                  <w:rStyle w:val="Strong"/>
                                  <w:color w:val="000000"/>
                                </w:rPr>
                                <w:t>Technology Commercialization </w:t>
                              </w:r>
                              <w:r>
                                <w:rPr>
                                  <w:color w:val="000000"/>
                                </w:rPr>
                                <w:t xml:space="preserve">filed 17 new patent applications out of 66 new inventions disclosed (mostly in the areas of therapeutics and medical devices). In addition, OTC filed 16 PCT applications and executed 6 license agreements. Of the 8 cohorts enrolled in the inaugural year of </w:t>
                              </w:r>
                              <w:hyperlink r:id="rId10" w:tgtFrame="_blank" w:history="1">
                                <w:proofErr w:type="spellStart"/>
                                <w:r>
                                  <w:rPr>
                                    <w:rStyle w:val="Hyperlink"/>
                                  </w:rPr>
                                  <w:t>TechNovum</w:t>
                                </w:r>
                                <w:proofErr w:type="spellEnd"/>
                              </w:hyperlink>
                              <w:r>
                                <w:rPr>
                                  <w:color w:val="000000"/>
                                </w:rPr>
                                <w:t xml:space="preserve">, 4 created new startup companies: Dr. Gupta's "Atomic Therapeutics", Dr. </w:t>
                              </w:r>
                              <w:proofErr w:type="spellStart"/>
                              <w:r>
                                <w:rPr>
                                  <w:color w:val="000000"/>
                                </w:rPr>
                                <w:t>Chul</w:t>
                              </w:r>
                              <w:proofErr w:type="spellEnd"/>
                              <w:r>
                                <w:rPr>
                                  <w:color w:val="000000"/>
                                </w:rPr>
                                <w:t xml:space="preserve"> Ha's "</w:t>
                              </w:r>
                              <w:proofErr w:type="spellStart"/>
                              <w:r>
                                <w:rPr>
                                  <w:color w:val="000000"/>
                                </w:rPr>
                                <w:t>Protectum</w:t>
                              </w:r>
                              <w:proofErr w:type="spellEnd"/>
                              <w:r>
                                <w:rPr>
                                  <w:color w:val="000000"/>
                                </w:rPr>
                                <w:t xml:space="preserve"> Oncology", Dr. </w:t>
                              </w:r>
                              <w:proofErr w:type="spellStart"/>
                              <w:r>
                                <w:rPr>
                                  <w:color w:val="000000"/>
                                </w:rPr>
                                <w:t>Papanastassiou's</w:t>
                              </w:r>
                              <w:proofErr w:type="spellEnd"/>
                              <w:r>
                                <w:rPr>
                                  <w:color w:val="000000"/>
                                </w:rPr>
                                <w:t xml:space="preserve"> "</w:t>
                              </w:r>
                              <w:proofErr w:type="spellStart"/>
                              <w:r>
                                <w:rPr>
                                  <w:color w:val="000000"/>
                                </w:rPr>
                                <w:t>Cerenovum</w:t>
                              </w:r>
                              <w:proofErr w:type="spellEnd"/>
                              <w:r>
                                <w:rPr>
                                  <w:color w:val="000000"/>
                                </w:rPr>
                                <w:t>" and Dr. DeLorenzo's "</w:t>
                              </w:r>
                              <w:proofErr w:type="spellStart"/>
                              <w:r>
                                <w:rPr>
                                  <w:color w:val="000000"/>
                                </w:rPr>
                                <w:t>EmergenceMed</w:t>
                              </w:r>
                              <w:proofErr w:type="spellEnd"/>
                              <w:r>
                                <w:rPr>
                                  <w:color w:val="000000"/>
                                </w:rPr>
                                <w:t>".  Five additional startups were created in 2020: Dr. Sharma's "</w:t>
                              </w:r>
                              <w:proofErr w:type="spellStart"/>
                              <w:r>
                                <w:rPr>
                                  <w:color w:val="000000"/>
                                </w:rPr>
                                <w:t>SygnaMap</w:t>
                              </w:r>
                              <w:proofErr w:type="spellEnd"/>
                              <w:r>
                                <w:rPr>
                                  <w:color w:val="000000"/>
                                </w:rPr>
                                <w:t>", Dr. Whang's "Lonestar Biosciences", Dr. Ruiz-Gonzales' "</w:t>
                              </w:r>
                              <w:proofErr w:type="spellStart"/>
                              <w:r>
                                <w:rPr>
                                  <w:color w:val="000000"/>
                                </w:rPr>
                                <w:t>Muen</w:t>
                              </w:r>
                              <w:proofErr w:type="spellEnd"/>
                              <w:r>
                                <w:rPr>
                                  <w:color w:val="000000"/>
                                </w:rPr>
                                <w:t xml:space="preserve"> LLC", Dr. </w:t>
                              </w:r>
                              <w:proofErr w:type="spellStart"/>
                              <w:r>
                                <w:rPr>
                                  <w:color w:val="000000"/>
                                </w:rPr>
                                <w:t>Makey's</w:t>
                              </w:r>
                              <w:proofErr w:type="spellEnd"/>
                              <w:r>
                                <w:rPr>
                                  <w:color w:val="000000"/>
                                </w:rPr>
                                <w:t xml:space="preserve"> "</w:t>
                              </w:r>
                              <w:proofErr w:type="spellStart"/>
                              <w:r>
                                <w:rPr>
                                  <w:color w:val="000000"/>
                                </w:rPr>
                                <w:t>Xtraction</w:t>
                              </w:r>
                              <w:proofErr w:type="spellEnd"/>
                              <w:r>
                                <w:rPr>
                                  <w:color w:val="000000"/>
                                </w:rPr>
                                <w:t>" and Dr. Jiang's "Riverwalk Therapeutics".</w:t>
                              </w:r>
                            </w:p>
                            <w:p w14:paraId="2B27DED1" w14:textId="77777777" w:rsidR="007F3875" w:rsidRDefault="007F3875">
                              <w:pPr>
                                <w:rPr>
                                  <w:color w:val="000000"/>
                                </w:rPr>
                              </w:pPr>
                              <w:r>
                                <w:rPr>
                                  <w:color w:val="000000"/>
                                </w:rPr>
                                <w:t> </w:t>
                              </w:r>
                            </w:p>
                            <w:p w14:paraId="339BB571" w14:textId="77777777" w:rsidR="007F3875" w:rsidRDefault="007F3875">
                              <w:pPr>
                                <w:rPr>
                                  <w:color w:val="000000"/>
                                </w:rPr>
                              </w:pPr>
                              <w:r>
                                <w:rPr>
                                  <w:rStyle w:val="Strong"/>
                                  <w:color w:val="000000"/>
                                </w:rPr>
                                <w:t>Postdoctoral Affairs</w:t>
                              </w:r>
                              <w:r>
                                <w:rPr>
                                  <w:color w:val="000000"/>
                                </w:rPr>
                                <w:t xml:space="preserve"> maintained records of postdoctoral research fellows in support of the new institutional postdoctoral policy that was fully implemented in January 2020. OPA also managed a comprehensive database of information on postdocs and research mentors that is used in NIH training grant applications. Finally, OPA provided diverse institution-wide workshops (adapted for virtual presentation) to enhance the research training environment and career development of the biomedical workforce.</w:t>
                              </w:r>
                            </w:p>
                            <w:p w14:paraId="778C8EC2" w14:textId="77777777" w:rsidR="007F3875" w:rsidRDefault="007F3875">
                              <w:pPr>
                                <w:rPr>
                                  <w:color w:val="000000"/>
                                </w:rPr>
                              </w:pPr>
                              <w:r>
                                <w:rPr>
                                  <w:color w:val="000000"/>
                                </w:rPr>
                                <w:t> </w:t>
                              </w:r>
                            </w:p>
                            <w:p w14:paraId="664D9917" w14:textId="77777777" w:rsidR="007F3875" w:rsidRDefault="007F3875">
                              <w:pPr>
                                <w:rPr>
                                  <w:color w:val="000000"/>
                                </w:rPr>
                              </w:pPr>
                              <w:r>
                                <w:rPr>
                                  <w:rStyle w:val="Strong"/>
                                  <w:color w:val="000000"/>
                                </w:rPr>
                                <w:t>CTSA/IIMS</w:t>
                              </w:r>
                              <w:r>
                                <w:rPr>
                                  <w:color w:val="000000"/>
                                </w:rPr>
                                <w:t xml:space="preserve"> promoted and coordinated multiple COVID-19-related activities including 7 COVID-19 pilot projects, supported several major clinical trials on COVID-19 treatment interventions (e.g., ACTT-1, 2, 3; </w:t>
                              </w:r>
                              <w:proofErr w:type="spellStart"/>
                              <w:r>
                                <w:rPr>
                                  <w:color w:val="000000"/>
                                </w:rPr>
                                <w:t>Remdesivir</w:t>
                              </w:r>
                              <w:proofErr w:type="spellEnd"/>
                              <w:r>
                                <w:rPr>
                                  <w:color w:val="000000"/>
                                </w:rPr>
                                <w:t xml:space="preserve"> +/- immunomodulators), participated in NCATS N3C (National COVID Cohort Collaborative), a patient-level COVID-19 database to support research, and received NIH funding for the Texas CEAL Consortium (CEAL = Community Engagement Alliance against COVID-19) to inform the public about the COVID-19 epidemic, participation in clinical trials, and acceptance of vaccines. In addition, the IIMS team continued to provide key resources to foster training and career development programs.</w:t>
                              </w:r>
                            </w:p>
                            <w:p w14:paraId="49F707DB" w14:textId="77777777" w:rsidR="007F3875" w:rsidRDefault="007F3875">
                              <w:pPr>
                                <w:rPr>
                                  <w:color w:val="000000"/>
                                </w:rPr>
                              </w:pPr>
                              <w:r>
                                <w:rPr>
                                  <w:color w:val="000000"/>
                                </w:rPr>
                                <w:t> </w:t>
                              </w:r>
                            </w:p>
                            <w:p w14:paraId="24F54A1B" w14:textId="77777777" w:rsidR="007F3875" w:rsidRDefault="007F3875">
                              <w:pPr>
                                <w:rPr>
                                  <w:color w:val="000000"/>
                                </w:rPr>
                              </w:pPr>
                              <w:proofErr w:type="spellStart"/>
                              <w:r>
                                <w:rPr>
                                  <w:rStyle w:val="Strong"/>
                                  <w:color w:val="000000"/>
                                </w:rPr>
                                <w:t>Grantseekers</w:t>
                              </w:r>
                              <w:proofErr w:type="spellEnd"/>
                              <w:r>
                                <w:rPr>
                                  <w:rStyle w:val="Strong"/>
                                  <w:color w:val="000000"/>
                                </w:rPr>
                                <w:t>.</w:t>
                              </w:r>
                              <w:r>
                                <w:rPr>
                                  <w:color w:val="000000"/>
                                </w:rPr>
                                <w:t xml:space="preserve"> Out of the 29 new grants submitted to </w:t>
                              </w:r>
                              <w:proofErr w:type="spellStart"/>
                              <w:r>
                                <w:rPr>
                                  <w:color w:val="000000"/>
                                </w:rPr>
                                <w:t>Grantseekers</w:t>
                              </w:r>
                              <w:proofErr w:type="spellEnd"/>
                              <w:r>
                                <w:rPr>
                                  <w:color w:val="000000"/>
                                </w:rPr>
                                <w:t xml:space="preserve"> between FY19 and FY20, 10 were successfully funded (over $15 million).</w:t>
                              </w:r>
                            </w:p>
                            <w:p w14:paraId="7128B6B6" w14:textId="77777777" w:rsidR="007F3875" w:rsidRDefault="007F3875">
                              <w:pPr>
                                <w:rPr>
                                  <w:color w:val="000000"/>
                                </w:rPr>
                              </w:pPr>
                              <w:r>
                                <w:rPr>
                                  <w:color w:val="000000"/>
                                </w:rPr>
                                <w:t> </w:t>
                              </w:r>
                            </w:p>
                          </w:tc>
                        </w:tr>
                      </w:tbl>
                      <w:p w14:paraId="22EF60EC" w14:textId="77777777" w:rsidR="007F3875" w:rsidRDefault="007F3875">
                        <w:pPr>
                          <w:jc w:val="center"/>
                          <w:rPr>
                            <w:rFonts w:eastAsia="Times New Roman"/>
                          </w:rPr>
                        </w:pPr>
                      </w:p>
                    </w:tc>
                  </w:tr>
                  <w:tr w:rsidR="007F3875" w14:paraId="5D0E1F67" w14:textId="77777777">
                    <w:trPr>
                      <w:tblCellSpacing w:w="0" w:type="dxa"/>
                    </w:trPr>
                    <w:tc>
                      <w:tcPr>
                        <w:tcW w:w="5000" w:type="pct"/>
                        <w:shd w:val="clear" w:color="auto" w:fill="0C0C0C"/>
                        <w:hideMark/>
                      </w:tcPr>
                      <w:tbl>
                        <w:tblPr>
                          <w:tblW w:w="5000" w:type="pct"/>
                          <w:tblCellSpacing w:w="0" w:type="dxa"/>
                          <w:shd w:val="clear" w:color="auto" w:fill="989898"/>
                          <w:tblCellMar>
                            <w:left w:w="0" w:type="dxa"/>
                            <w:right w:w="0" w:type="dxa"/>
                          </w:tblCellMar>
                          <w:tblLook w:val="04A0" w:firstRow="1" w:lastRow="0" w:firstColumn="1" w:lastColumn="0" w:noHBand="0" w:noVBand="1"/>
                        </w:tblPr>
                        <w:tblGrid>
                          <w:gridCol w:w="11970"/>
                        </w:tblGrid>
                        <w:tr w:rsidR="007F3875" w14:paraId="0147A0D5" w14:textId="77777777">
                          <w:trPr>
                            <w:tblCellSpacing w:w="0" w:type="dxa"/>
                          </w:trPr>
                          <w:tc>
                            <w:tcPr>
                              <w:tcW w:w="0" w:type="auto"/>
                              <w:shd w:val="clear" w:color="auto" w:fill="989898"/>
                              <w:tcMar>
                                <w:top w:w="75" w:type="dxa"/>
                                <w:left w:w="75" w:type="dxa"/>
                                <w:bottom w:w="75" w:type="dxa"/>
                                <w:right w:w="75" w:type="dxa"/>
                              </w:tcMar>
                              <w:vAlign w:val="center"/>
                              <w:hideMark/>
                            </w:tcPr>
                            <w:p w14:paraId="68B4F5D3" w14:textId="3C555181" w:rsidR="007F3875" w:rsidRDefault="007F3875">
                              <w:pPr>
                                <w:jc w:val="center"/>
                                <w:rPr>
                                  <w:rFonts w:ascii="Verdana" w:hAnsi="Verdana"/>
                                  <w:color w:val="FFFFFF"/>
                                  <w:sz w:val="20"/>
                                  <w:szCs w:val="20"/>
                                </w:rPr>
                              </w:pPr>
                              <w:r>
                                <w:rPr>
                                  <w:rFonts w:ascii="Verdana" w:hAnsi="Verdana"/>
                                  <w:noProof/>
                                  <w:color w:val="FFFFFF"/>
                                  <w:sz w:val="20"/>
                                  <w:szCs w:val="20"/>
                                </w:rPr>
                                <w:lastRenderedPageBreak/>
                                <w:drawing>
                                  <wp:inline distT="0" distB="0" distL="0" distR="0" wp14:anchorId="7779A946" wp14:editId="45111B68">
                                    <wp:extent cx="1009650"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50" cy="1104900"/>
                                            </a:xfrm>
                                            <a:prstGeom prst="rect">
                                              <a:avLst/>
                                            </a:prstGeom>
                                            <a:noFill/>
                                            <a:ln>
                                              <a:noFill/>
                                            </a:ln>
                                          </pic:spPr>
                                        </pic:pic>
                                      </a:graphicData>
                                    </a:graphic>
                                  </wp:inline>
                                </w:drawing>
                              </w:r>
                            </w:p>
                          </w:tc>
                        </w:tr>
                      </w:tbl>
                      <w:p w14:paraId="33F1C48D" w14:textId="77777777" w:rsidR="007F3875" w:rsidRDefault="007F3875">
                        <w:pPr>
                          <w:rPr>
                            <w:rFonts w:ascii="Times New Roman" w:eastAsia="Times New Roman" w:hAnsi="Times New Roman" w:cs="Times New Roman"/>
                            <w:sz w:val="20"/>
                            <w:szCs w:val="20"/>
                          </w:rPr>
                        </w:pPr>
                      </w:p>
                    </w:tc>
                  </w:tr>
                </w:tbl>
                <w:p w14:paraId="01D79105" w14:textId="77777777" w:rsidR="007F3875" w:rsidRDefault="007F3875">
                  <w:pPr>
                    <w:rPr>
                      <w:rFonts w:ascii="Times New Roman" w:eastAsia="Times New Roman" w:hAnsi="Times New Roman" w:cs="Times New Roman"/>
                      <w:sz w:val="20"/>
                      <w:szCs w:val="20"/>
                    </w:rPr>
                  </w:pPr>
                </w:p>
              </w:tc>
            </w:tr>
            <w:tr w:rsidR="007F3875" w14:paraId="3FEDB9B7" w14:textId="77777777">
              <w:trPr>
                <w:trHeight w:val="150"/>
                <w:tblCellSpacing w:w="0" w:type="dxa"/>
                <w:jc w:val="center"/>
              </w:trPr>
              <w:tc>
                <w:tcPr>
                  <w:tcW w:w="5000" w:type="pct"/>
                  <w:tcMar>
                    <w:top w:w="15" w:type="dxa"/>
                    <w:left w:w="15" w:type="dxa"/>
                    <w:bottom w:w="15" w:type="dxa"/>
                    <w:right w:w="15" w:type="dxa"/>
                  </w:tcMar>
                  <w:hideMark/>
                </w:tcPr>
                <w:p w14:paraId="34551AB1" w14:textId="77777777" w:rsidR="007F3875" w:rsidRDefault="007F3875">
                  <w:pPr>
                    <w:rPr>
                      <w:rFonts w:ascii="Times New Roman" w:eastAsia="Times New Roman" w:hAnsi="Times New Roman" w:cs="Times New Roman"/>
                      <w:sz w:val="20"/>
                      <w:szCs w:val="20"/>
                    </w:rPr>
                  </w:pPr>
                </w:p>
              </w:tc>
            </w:tr>
          </w:tbl>
          <w:p w14:paraId="1DFA6AEA" w14:textId="77777777" w:rsidR="007F3875" w:rsidRDefault="007F3875">
            <w:pPr>
              <w:jc w:val="center"/>
              <w:rPr>
                <w:rFonts w:ascii="Times New Roman" w:eastAsia="Times New Roman" w:hAnsi="Times New Roman" w:cs="Times New Roman"/>
                <w:sz w:val="20"/>
                <w:szCs w:val="20"/>
              </w:rPr>
            </w:pPr>
          </w:p>
        </w:tc>
      </w:tr>
    </w:tbl>
    <w:p w14:paraId="32BFC1CD" w14:textId="77777777" w:rsidR="001D28C3" w:rsidRDefault="00117029"/>
    <w:sectPr w:rsidR="001D28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875"/>
    <w:rsid w:val="00117029"/>
    <w:rsid w:val="006E61CE"/>
    <w:rsid w:val="007F3875"/>
    <w:rsid w:val="008A0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89162"/>
  <w15:chartTrackingRefBased/>
  <w15:docId w15:val="{6F4F66F2-1B8D-403D-A2D4-6DFDDB1E3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87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F3875"/>
    <w:rPr>
      <w:color w:val="0000FF"/>
      <w:u w:val="single"/>
    </w:rPr>
  </w:style>
  <w:style w:type="character" w:styleId="Emphasis">
    <w:name w:val="Emphasis"/>
    <w:basedOn w:val="DefaultParagraphFont"/>
    <w:uiPriority w:val="20"/>
    <w:qFormat/>
    <w:rsid w:val="007F3875"/>
    <w:rPr>
      <w:i/>
      <w:iCs/>
    </w:rPr>
  </w:style>
  <w:style w:type="character" w:styleId="Strong">
    <w:name w:val="Strong"/>
    <w:basedOn w:val="DefaultParagraphFont"/>
    <w:uiPriority w:val="22"/>
    <w:qFormat/>
    <w:rsid w:val="007F38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75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20.rs6.net/tn.jsp?t=ujlqsabbb.0.0.8pquoqqab.0&amp;id=preview&amp;r=3&amp;p=https%3A%2F%2Fcancer.uthscsa.ed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r20.rs6.net/tn.jsp?t=ujlqsabbb.0.0.8pquoqqab.0&amp;id=preview&amp;r=3&amp;p=https%3A%2F%2Fvpr.uthscsa.edu%2Ffindastudy%2F"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r20.rs6.net/tn.jsp?t=ujlqsabbb.0.0.8pquoqqab.0&amp;id=preview&amp;r=3&amp;p=http%3A%2F%2FClinicalTrials.gov" TargetMode="External"/><Relationship Id="rId11" Type="http://schemas.openxmlformats.org/officeDocument/2006/relationships/image" Target="media/image2.png"/><Relationship Id="rId5" Type="http://schemas.openxmlformats.org/officeDocument/2006/relationships/hyperlink" Target="http://r20.rs6.net/tn.jsp?t=ujlqsabbb.0.0.8pquoqqab.0&amp;id=preview&amp;r=3&amp;p=https%3A%2F%2Fvoelckeracademy.uthscsa.edu%2F" TargetMode="External"/><Relationship Id="rId10" Type="http://schemas.openxmlformats.org/officeDocument/2006/relationships/hyperlink" Target="http://r20.rs6.net/tn.jsp?t=ujlqsabbb.0.0.8pquoqqab.0&amp;id=preview&amp;r=3&amp;p=https%3A%2F%2Fotc.uthscsa.edu%2Ftechnovum" TargetMode="External"/><Relationship Id="rId4" Type="http://schemas.openxmlformats.org/officeDocument/2006/relationships/image" Target="media/image1.png"/><Relationship Id="rId9" Type="http://schemas.openxmlformats.org/officeDocument/2006/relationships/hyperlink" Target="http://r20.rs6.net/tn.jsp?t=ujlqsabbb.0.0.8pquoqqab.0&amp;id=preview&amp;r=3&amp;p=https%3A%2F%2Fwww.uthscsa.edu%2Fvpr%2Fcollaborations%2Fbiob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1325</Words>
  <Characters>7559</Characters>
  <Application>Microsoft Office Word</Application>
  <DocSecurity>0</DocSecurity>
  <Lines>62</Lines>
  <Paragraphs>17</Paragraphs>
  <ScaleCrop>false</ScaleCrop>
  <Company/>
  <LinksUpToDate>false</LinksUpToDate>
  <CharactersWithSpaces>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Lopez-George, Linda M</dc:creator>
  <cp:keywords/>
  <dc:description/>
  <cp:lastModifiedBy>Borrego, Zachary T</cp:lastModifiedBy>
  <cp:revision>2</cp:revision>
  <dcterms:created xsi:type="dcterms:W3CDTF">2021-03-29T06:26:00Z</dcterms:created>
  <dcterms:modified xsi:type="dcterms:W3CDTF">2021-03-29T06:26:00Z</dcterms:modified>
</cp:coreProperties>
</file>