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49DBA" w14:textId="77777777" w:rsidR="00944788" w:rsidRPr="008110DF" w:rsidRDefault="00944788" w:rsidP="00944788">
      <w:pPr>
        <w:jc w:val="center"/>
        <w:rPr>
          <w:rStyle w:val="Emphasis"/>
          <w:sz w:val="32"/>
        </w:rPr>
      </w:pPr>
      <w:r w:rsidRPr="008110DF">
        <w:rPr>
          <w:rStyle w:val="Emphasis"/>
          <w:sz w:val="32"/>
        </w:rPr>
        <w:t>Emergency Use Process</w:t>
      </w:r>
    </w:p>
    <w:p w14:paraId="4DD39C32" w14:textId="77777777" w:rsidR="00944788" w:rsidRPr="008110DF" w:rsidRDefault="00944788" w:rsidP="00944788">
      <w:pPr>
        <w:jc w:val="center"/>
        <w:rPr>
          <w:rStyle w:val="Emphasis"/>
        </w:rPr>
      </w:pPr>
      <w:r w:rsidRPr="008110DF">
        <w:rPr>
          <w:rStyle w:val="Emphasis"/>
        </w:rPr>
        <w:t>Easy as 1, 2, 3</w:t>
      </w:r>
    </w:p>
    <w:p w14:paraId="4A1C09C6" w14:textId="77777777" w:rsidR="00944788" w:rsidRDefault="00944788">
      <w:r>
        <w:rPr>
          <w:noProof/>
        </w:rPr>
        <w:drawing>
          <wp:anchor distT="0" distB="0" distL="114300" distR="114300" simplePos="0" relativeHeight="251659264" behindDoc="0" locked="0" layoutInCell="1" allowOverlap="1" wp14:anchorId="712AC4DA" wp14:editId="10CEC94C">
            <wp:simplePos x="0" y="0"/>
            <wp:positionH relativeFrom="column">
              <wp:posOffset>4381500</wp:posOffset>
            </wp:positionH>
            <wp:positionV relativeFrom="paragraph">
              <wp:posOffset>120015</wp:posOffset>
            </wp:positionV>
            <wp:extent cx="1440180" cy="1424940"/>
            <wp:effectExtent l="0" t="0" r="762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0D23E0" wp14:editId="5B263C36">
            <wp:simplePos x="0" y="0"/>
            <wp:positionH relativeFrom="column">
              <wp:posOffset>2278380</wp:posOffset>
            </wp:positionH>
            <wp:positionV relativeFrom="paragraph">
              <wp:posOffset>116205</wp:posOffset>
            </wp:positionV>
            <wp:extent cx="1402080" cy="141732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4E0DCC6" wp14:editId="21828D1F">
            <wp:simplePos x="0" y="0"/>
            <wp:positionH relativeFrom="column">
              <wp:posOffset>0</wp:posOffset>
            </wp:positionH>
            <wp:positionV relativeFrom="paragraph">
              <wp:posOffset>120650</wp:posOffset>
            </wp:positionV>
            <wp:extent cx="1501140" cy="1516380"/>
            <wp:effectExtent l="0" t="0" r="381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FC214" w14:textId="77777777" w:rsidR="00944788" w:rsidRDefault="00944788">
      <w:pPr>
        <w:sectPr w:rsidR="00944788" w:rsidSect="00C54B0E">
          <w:footerReference w:type="default" r:id="rId10"/>
          <w:pgSz w:w="12240" w:h="15840"/>
          <w:pgMar w:top="540" w:right="1440" w:bottom="1440" w:left="1440" w:header="450" w:footer="288" w:gutter="0"/>
          <w:cols w:space="720"/>
          <w:docGrid w:linePitch="360"/>
        </w:sectPr>
      </w:pPr>
    </w:p>
    <w:p w14:paraId="61B5483D" w14:textId="77777777" w:rsidR="00944788" w:rsidRPr="00973824" w:rsidRDefault="00944788" w:rsidP="00973824">
      <w:pPr>
        <w:spacing w:line="240" w:lineRule="auto"/>
        <w:rPr>
          <w:sz w:val="18"/>
          <w:szCs w:val="18"/>
        </w:rPr>
      </w:pPr>
    </w:p>
    <w:p w14:paraId="02A1373D" w14:textId="77777777" w:rsidR="00944788" w:rsidRPr="00973824" w:rsidRDefault="00944788" w:rsidP="00973824">
      <w:pPr>
        <w:spacing w:line="240" w:lineRule="auto"/>
        <w:rPr>
          <w:sz w:val="18"/>
          <w:szCs w:val="18"/>
        </w:rPr>
      </w:pPr>
    </w:p>
    <w:p w14:paraId="7DD0C1EC" w14:textId="77777777" w:rsidR="00944788" w:rsidRPr="00973824" w:rsidRDefault="00944788" w:rsidP="00973824">
      <w:pPr>
        <w:spacing w:line="240" w:lineRule="auto"/>
        <w:rPr>
          <w:sz w:val="18"/>
          <w:szCs w:val="18"/>
        </w:rPr>
      </w:pPr>
    </w:p>
    <w:p w14:paraId="4CAC85BA" w14:textId="77777777" w:rsidR="00944788" w:rsidRPr="00973824" w:rsidRDefault="00944788" w:rsidP="00973824">
      <w:pPr>
        <w:spacing w:line="240" w:lineRule="auto"/>
        <w:rPr>
          <w:sz w:val="18"/>
          <w:szCs w:val="18"/>
        </w:rPr>
      </w:pPr>
    </w:p>
    <w:p w14:paraId="11931F3E" w14:textId="77777777" w:rsidR="00973824" w:rsidRPr="00973824" w:rsidRDefault="00973824" w:rsidP="00973824">
      <w:pPr>
        <w:spacing w:line="240" w:lineRule="auto"/>
        <w:rPr>
          <w:sz w:val="18"/>
          <w:szCs w:val="18"/>
        </w:rPr>
      </w:pPr>
    </w:p>
    <w:p w14:paraId="54224BDD" w14:textId="77777777" w:rsidR="00944788" w:rsidRPr="00973824" w:rsidRDefault="00944788" w:rsidP="00973824">
      <w:pPr>
        <w:spacing w:line="240" w:lineRule="auto"/>
        <w:jc w:val="center"/>
        <w:rPr>
          <w:b/>
          <w:szCs w:val="18"/>
        </w:rPr>
      </w:pPr>
      <w:r w:rsidRPr="00973824">
        <w:rPr>
          <w:b/>
          <w:szCs w:val="18"/>
        </w:rPr>
        <w:t>Complete the Checklist</w:t>
      </w:r>
    </w:p>
    <w:p w14:paraId="42C53BEB" w14:textId="77777777" w:rsidR="00DE295A" w:rsidRDefault="00944788" w:rsidP="00973824">
      <w:pPr>
        <w:spacing w:line="240" w:lineRule="auto"/>
        <w:rPr>
          <w:sz w:val="18"/>
          <w:szCs w:val="18"/>
        </w:rPr>
      </w:pPr>
      <w:r w:rsidRPr="00DE295A">
        <w:rPr>
          <w:sz w:val="18"/>
          <w:szCs w:val="18"/>
          <w:u w:val="single"/>
        </w:rPr>
        <w:t>Drugs:</w:t>
      </w:r>
      <w:r w:rsidRPr="00973824">
        <w:rPr>
          <w:sz w:val="18"/>
          <w:szCs w:val="18"/>
        </w:rPr>
        <w:t xml:space="preserve"> </w:t>
      </w:r>
    </w:p>
    <w:p w14:paraId="23989006" w14:textId="420663DD" w:rsidR="00944788" w:rsidRPr="00973824" w:rsidRDefault="00944788" w:rsidP="00DE295A">
      <w:pPr>
        <w:spacing w:line="240" w:lineRule="auto"/>
        <w:ind w:left="180"/>
        <w:rPr>
          <w:sz w:val="18"/>
          <w:szCs w:val="18"/>
        </w:rPr>
      </w:pPr>
      <w:r w:rsidRPr="00973824">
        <w:rPr>
          <w:sz w:val="18"/>
          <w:szCs w:val="18"/>
        </w:rPr>
        <w:t xml:space="preserve">Use the </w:t>
      </w:r>
      <w:hyperlink r:id="rId11" w:history="1">
        <w:r w:rsidRPr="00A148EA">
          <w:rPr>
            <w:rStyle w:val="Hyperlink"/>
            <w:b/>
            <w:i/>
            <w:sz w:val="18"/>
            <w:szCs w:val="18"/>
          </w:rPr>
          <w:t>Emergency Use Drug/Biologic Checklist</w:t>
        </w:r>
      </w:hyperlink>
      <w:r w:rsidRPr="00973824">
        <w:rPr>
          <w:sz w:val="18"/>
          <w:szCs w:val="18"/>
        </w:rPr>
        <w:t xml:space="preserve"> </w:t>
      </w:r>
    </w:p>
    <w:p w14:paraId="2ED9EE01" w14:textId="77777777" w:rsidR="00DE295A" w:rsidRPr="00DE295A" w:rsidRDefault="00944788" w:rsidP="00973824">
      <w:pPr>
        <w:spacing w:line="240" w:lineRule="auto"/>
        <w:rPr>
          <w:sz w:val="18"/>
          <w:szCs w:val="18"/>
          <w:u w:val="single"/>
        </w:rPr>
      </w:pPr>
      <w:r w:rsidRPr="00DE295A">
        <w:rPr>
          <w:sz w:val="18"/>
          <w:szCs w:val="18"/>
          <w:u w:val="single"/>
        </w:rPr>
        <w:t xml:space="preserve">Devices: </w:t>
      </w:r>
    </w:p>
    <w:p w14:paraId="798C5C33" w14:textId="25DA0800" w:rsidR="00944788" w:rsidRPr="00973824" w:rsidRDefault="00944788" w:rsidP="00DE295A">
      <w:pPr>
        <w:spacing w:line="240" w:lineRule="auto"/>
        <w:ind w:firstLine="180"/>
        <w:rPr>
          <w:sz w:val="18"/>
          <w:szCs w:val="18"/>
        </w:rPr>
      </w:pPr>
      <w:r w:rsidRPr="00973824">
        <w:rPr>
          <w:sz w:val="18"/>
          <w:szCs w:val="18"/>
        </w:rPr>
        <w:t xml:space="preserve">Use the </w:t>
      </w:r>
      <w:hyperlink r:id="rId12" w:history="1">
        <w:r w:rsidRPr="00A148EA">
          <w:rPr>
            <w:rStyle w:val="Hyperlink"/>
            <w:b/>
            <w:i/>
            <w:sz w:val="18"/>
            <w:szCs w:val="18"/>
          </w:rPr>
          <w:t xml:space="preserve">Emergency Use Device </w:t>
        </w:r>
        <w:r w:rsidR="00A66D0D" w:rsidRPr="00A148EA">
          <w:rPr>
            <w:rStyle w:val="Hyperlink"/>
            <w:b/>
            <w:i/>
            <w:sz w:val="18"/>
            <w:szCs w:val="18"/>
          </w:rPr>
          <w:t>C</w:t>
        </w:r>
        <w:r w:rsidRPr="00A148EA">
          <w:rPr>
            <w:rStyle w:val="Hyperlink"/>
            <w:b/>
            <w:i/>
            <w:sz w:val="18"/>
            <w:szCs w:val="18"/>
          </w:rPr>
          <w:t>hecklist</w:t>
        </w:r>
      </w:hyperlink>
      <w:r w:rsidRPr="00973824">
        <w:rPr>
          <w:sz w:val="18"/>
          <w:szCs w:val="18"/>
        </w:rPr>
        <w:t xml:space="preserve"> </w:t>
      </w:r>
    </w:p>
    <w:p w14:paraId="18BA0771" w14:textId="77777777" w:rsidR="003B7BE7" w:rsidRDefault="003B7BE7" w:rsidP="0008702E">
      <w:pPr>
        <w:spacing w:line="240" w:lineRule="auto"/>
        <w:ind w:left="180" w:hanging="180"/>
        <w:jc w:val="both"/>
        <w:rPr>
          <w:sz w:val="18"/>
          <w:szCs w:val="18"/>
          <w:u w:val="single"/>
        </w:rPr>
      </w:pPr>
    </w:p>
    <w:p w14:paraId="33BC37B8" w14:textId="77777777" w:rsidR="003B7BE7" w:rsidRDefault="0008702E" w:rsidP="0008702E">
      <w:pPr>
        <w:spacing w:line="240" w:lineRule="auto"/>
        <w:ind w:left="180" w:hanging="180"/>
        <w:jc w:val="both"/>
        <w:rPr>
          <w:sz w:val="18"/>
          <w:szCs w:val="18"/>
        </w:rPr>
      </w:pPr>
      <w:r w:rsidRPr="0008702E">
        <w:rPr>
          <w:sz w:val="18"/>
          <w:szCs w:val="18"/>
          <w:u w:val="single"/>
        </w:rPr>
        <w:t>Is prior IRB approval needed</w:t>
      </w:r>
      <w:r>
        <w:rPr>
          <w:sz w:val="18"/>
          <w:szCs w:val="18"/>
        </w:rPr>
        <w:t>?</w:t>
      </w:r>
      <w:r w:rsidRPr="00973824">
        <w:rPr>
          <w:sz w:val="18"/>
          <w:szCs w:val="18"/>
        </w:rPr>
        <w:t xml:space="preserve"> </w:t>
      </w:r>
    </w:p>
    <w:p w14:paraId="56B25420" w14:textId="77777777" w:rsidR="0008702E" w:rsidRPr="00973824" w:rsidRDefault="0008702E" w:rsidP="003B7BE7">
      <w:pPr>
        <w:spacing w:line="240" w:lineRule="auto"/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>Some Sponsors require IRB approval or chair concurrence before shipping a</w:t>
      </w:r>
      <w:r w:rsidRPr="00973824">
        <w:rPr>
          <w:sz w:val="18"/>
          <w:szCs w:val="18"/>
        </w:rPr>
        <w:t xml:space="preserve"> test article:</w:t>
      </w:r>
    </w:p>
    <w:p w14:paraId="12523801" w14:textId="77777777" w:rsidR="0008702E" w:rsidRPr="00973824" w:rsidRDefault="0008702E" w:rsidP="0008702E">
      <w:pPr>
        <w:spacing w:line="240" w:lineRule="auto"/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>If you need this approval, c</w:t>
      </w:r>
      <w:r w:rsidRPr="00973824">
        <w:rPr>
          <w:sz w:val="18"/>
          <w:szCs w:val="18"/>
        </w:rPr>
        <w:t>all the IRB Director immediately at (210) 854-5671 or IRB Associate Director at (</w:t>
      </w:r>
      <w:r w:rsidR="008F48D8">
        <w:rPr>
          <w:sz w:val="18"/>
          <w:szCs w:val="18"/>
        </w:rPr>
        <w:t>361</w:t>
      </w:r>
      <w:r w:rsidRPr="00973824">
        <w:rPr>
          <w:sz w:val="18"/>
          <w:szCs w:val="18"/>
        </w:rPr>
        <w:t xml:space="preserve">) </w:t>
      </w:r>
      <w:r w:rsidR="008F48D8">
        <w:rPr>
          <w:sz w:val="18"/>
          <w:szCs w:val="18"/>
        </w:rPr>
        <w:t>548-7904</w:t>
      </w:r>
      <w:r w:rsidRPr="0097382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and have your completed checklist ready when you call. </w:t>
      </w:r>
    </w:p>
    <w:p w14:paraId="773B32CF" w14:textId="77777777" w:rsidR="0008702E" w:rsidRPr="00973824" w:rsidRDefault="003B7BE7" w:rsidP="0008702E">
      <w:pPr>
        <w:spacing w:line="240" w:lineRule="auto"/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Written determination </w:t>
      </w:r>
      <w:r w:rsidR="0008702E" w:rsidRPr="00973824">
        <w:rPr>
          <w:sz w:val="18"/>
          <w:szCs w:val="18"/>
        </w:rPr>
        <w:t xml:space="preserve">will be provided to the treating physician as to whether the IRB Chair or Designee agrees the Emergency Use meets regulatory criteria. </w:t>
      </w:r>
    </w:p>
    <w:p w14:paraId="35193519" w14:textId="77777777" w:rsidR="00944788" w:rsidRPr="00973824" w:rsidRDefault="00944788" w:rsidP="00973824">
      <w:pPr>
        <w:spacing w:line="240" w:lineRule="auto"/>
        <w:rPr>
          <w:sz w:val="18"/>
          <w:szCs w:val="18"/>
        </w:rPr>
      </w:pPr>
      <w:r w:rsidRPr="00973824">
        <w:rPr>
          <w:sz w:val="18"/>
          <w:szCs w:val="18"/>
        </w:rPr>
        <w:br w:type="column"/>
      </w:r>
    </w:p>
    <w:p w14:paraId="2316CA57" w14:textId="77777777" w:rsidR="00944788" w:rsidRPr="00973824" w:rsidRDefault="00944788" w:rsidP="00973824">
      <w:pPr>
        <w:spacing w:line="240" w:lineRule="auto"/>
        <w:rPr>
          <w:sz w:val="18"/>
          <w:szCs w:val="18"/>
        </w:rPr>
      </w:pPr>
    </w:p>
    <w:p w14:paraId="3C5D1F4E" w14:textId="77777777" w:rsidR="00944788" w:rsidRPr="00973824" w:rsidRDefault="00944788" w:rsidP="00973824">
      <w:pPr>
        <w:spacing w:line="240" w:lineRule="auto"/>
        <w:rPr>
          <w:sz w:val="18"/>
          <w:szCs w:val="18"/>
        </w:rPr>
      </w:pPr>
    </w:p>
    <w:p w14:paraId="5B86D9E9" w14:textId="77777777" w:rsidR="00944788" w:rsidRPr="00973824" w:rsidRDefault="00944788" w:rsidP="00973824">
      <w:pPr>
        <w:spacing w:line="240" w:lineRule="auto"/>
        <w:rPr>
          <w:sz w:val="18"/>
          <w:szCs w:val="18"/>
        </w:rPr>
      </w:pPr>
    </w:p>
    <w:p w14:paraId="5F62B308" w14:textId="77777777" w:rsidR="00973824" w:rsidRPr="00973824" w:rsidRDefault="00973824" w:rsidP="00973824">
      <w:pPr>
        <w:spacing w:line="240" w:lineRule="auto"/>
        <w:rPr>
          <w:sz w:val="18"/>
          <w:szCs w:val="18"/>
        </w:rPr>
      </w:pPr>
    </w:p>
    <w:p w14:paraId="687B2F9E" w14:textId="77777777" w:rsidR="00944788" w:rsidRPr="00973824" w:rsidRDefault="00944788" w:rsidP="00973824">
      <w:pPr>
        <w:spacing w:line="240" w:lineRule="auto"/>
        <w:jc w:val="center"/>
        <w:rPr>
          <w:b/>
          <w:szCs w:val="18"/>
        </w:rPr>
      </w:pPr>
      <w:r w:rsidRPr="00973824">
        <w:rPr>
          <w:b/>
          <w:szCs w:val="18"/>
        </w:rPr>
        <w:t>Informed Consent &amp; Use</w:t>
      </w:r>
    </w:p>
    <w:p w14:paraId="58DEA7F3" w14:textId="77777777" w:rsidR="0008702E" w:rsidRDefault="0008702E" w:rsidP="00973824">
      <w:pPr>
        <w:spacing w:line="240" w:lineRule="auto"/>
        <w:ind w:left="180" w:hanging="18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Obtain </w:t>
      </w:r>
      <w:r w:rsidRPr="003B7BE7">
        <w:rPr>
          <w:b/>
          <w:sz w:val="18"/>
          <w:szCs w:val="18"/>
          <w:u w:val="single"/>
        </w:rPr>
        <w:t>informed Consent</w:t>
      </w:r>
      <w:r>
        <w:rPr>
          <w:sz w:val="18"/>
          <w:szCs w:val="18"/>
          <w:u w:val="single"/>
        </w:rPr>
        <w:t>:</w:t>
      </w:r>
    </w:p>
    <w:p w14:paraId="70DDF02A" w14:textId="529B38F9" w:rsidR="003B7BE7" w:rsidRPr="00973824" w:rsidRDefault="003B7BE7" w:rsidP="003B7BE7">
      <w:pPr>
        <w:spacing w:line="240" w:lineRule="auto"/>
        <w:ind w:left="180"/>
        <w:jc w:val="both"/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Develop </w:t>
      </w:r>
      <w:r w:rsidRPr="00973824">
        <w:rPr>
          <w:sz w:val="18"/>
          <w:szCs w:val="18"/>
        </w:rPr>
        <w:t xml:space="preserve">the Consent Form using the </w:t>
      </w:r>
      <w:hyperlink r:id="rId13" w:history="1">
        <w:r w:rsidRPr="00A148EA">
          <w:rPr>
            <w:rStyle w:val="Hyperlink"/>
            <w:b/>
            <w:i/>
            <w:sz w:val="18"/>
            <w:szCs w:val="18"/>
          </w:rPr>
          <w:t>Emergency Use Consent Template</w:t>
        </w:r>
      </w:hyperlink>
    </w:p>
    <w:p w14:paraId="0D5361C3" w14:textId="401E7881" w:rsidR="003B7BE7" w:rsidRPr="00973824" w:rsidRDefault="003B7BE7" w:rsidP="003B7BE7">
      <w:pPr>
        <w:spacing w:line="240" w:lineRule="auto"/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If you are unable to obtain consent from the subject (based upon criteria identified in the checklist) </w:t>
      </w:r>
      <w:r w:rsidRPr="00973824">
        <w:rPr>
          <w:sz w:val="18"/>
          <w:szCs w:val="18"/>
        </w:rPr>
        <w:t>obtain a written assessment from an independent physician certifying that the waiver</w:t>
      </w:r>
      <w:r w:rsidR="00912F5D">
        <w:rPr>
          <w:sz w:val="18"/>
          <w:szCs w:val="18"/>
        </w:rPr>
        <w:t xml:space="preserve"> </w:t>
      </w:r>
      <w:r w:rsidRPr="00973824">
        <w:rPr>
          <w:sz w:val="18"/>
          <w:szCs w:val="18"/>
        </w:rPr>
        <w:t xml:space="preserve">of consent criteria are met. You may use this template: </w:t>
      </w:r>
      <w:hyperlink r:id="rId14" w:history="1">
        <w:r w:rsidRPr="00A148EA">
          <w:rPr>
            <w:rStyle w:val="Hyperlink"/>
            <w:b/>
            <w:i/>
            <w:sz w:val="18"/>
            <w:szCs w:val="18"/>
          </w:rPr>
          <w:t>Certification from Independent Physician</w:t>
        </w:r>
      </w:hyperlink>
      <w:r w:rsidRPr="00973824">
        <w:rPr>
          <w:sz w:val="18"/>
          <w:szCs w:val="18"/>
        </w:rPr>
        <w:t xml:space="preserve"> </w:t>
      </w:r>
    </w:p>
    <w:p w14:paraId="52DA3BE6" w14:textId="77777777" w:rsidR="00DE295A" w:rsidRDefault="0008702E" w:rsidP="00973824">
      <w:pPr>
        <w:spacing w:line="240" w:lineRule="auto"/>
        <w:ind w:left="180" w:hanging="180"/>
        <w:jc w:val="both"/>
        <w:rPr>
          <w:sz w:val="18"/>
          <w:szCs w:val="18"/>
        </w:rPr>
      </w:pPr>
      <w:r>
        <w:rPr>
          <w:sz w:val="18"/>
          <w:szCs w:val="18"/>
        </w:rPr>
        <w:tab/>
        <w:t>Emergency Use of a test article requires prior consent.  If you are able to obtain informed consent (as determined in step 1)</w:t>
      </w:r>
      <w:r w:rsidR="00DE295A">
        <w:rPr>
          <w:sz w:val="18"/>
          <w:szCs w:val="18"/>
        </w:rPr>
        <w:t>;</w:t>
      </w:r>
      <w:r>
        <w:rPr>
          <w:sz w:val="18"/>
          <w:szCs w:val="18"/>
        </w:rPr>
        <w:t xml:space="preserve"> </w:t>
      </w:r>
      <w:r w:rsidR="00DE295A">
        <w:rPr>
          <w:sz w:val="18"/>
          <w:szCs w:val="18"/>
        </w:rPr>
        <w:t xml:space="preserve">speak to the patient or LAR to obtain this consent.  </w:t>
      </w:r>
    </w:p>
    <w:p w14:paraId="1938BA07" w14:textId="77777777" w:rsidR="0008702E" w:rsidRPr="0008702E" w:rsidRDefault="00DE295A" w:rsidP="00DE295A">
      <w:pPr>
        <w:spacing w:line="240" w:lineRule="auto"/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>You will be required to provide the IRB with a copy of the completed informed consent (names redacted) after the use.</w:t>
      </w:r>
    </w:p>
    <w:p w14:paraId="30455F5B" w14:textId="77777777" w:rsidR="008445CB" w:rsidRPr="00973824" w:rsidRDefault="00973824" w:rsidP="00973824">
      <w:pPr>
        <w:spacing w:line="240" w:lineRule="auto"/>
        <w:ind w:left="180" w:hanging="180"/>
        <w:jc w:val="both"/>
        <w:rPr>
          <w:sz w:val="18"/>
          <w:szCs w:val="18"/>
          <w:u w:val="single"/>
        </w:rPr>
      </w:pPr>
      <w:r w:rsidRPr="003B7BE7">
        <w:rPr>
          <w:b/>
          <w:sz w:val="18"/>
          <w:szCs w:val="18"/>
          <w:u w:val="single"/>
        </w:rPr>
        <w:t>Use</w:t>
      </w:r>
      <w:r>
        <w:rPr>
          <w:sz w:val="18"/>
          <w:szCs w:val="18"/>
          <w:u w:val="single"/>
        </w:rPr>
        <w:t xml:space="preserve"> the drug/device to treat the patient</w:t>
      </w:r>
      <w:r w:rsidR="008445CB" w:rsidRPr="00973824">
        <w:rPr>
          <w:sz w:val="18"/>
          <w:szCs w:val="18"/>
          <w:u w:val="single"/>
        </w:rPr>
        <w:t>:</w:t>
      </w:r>
    </w:p>
    <w:p w14:paraId="70680477" w14:textId="77777777" w:rsidR="00DE295A" w:rsidRDefault="008445CB" w:rsidP="00973824">
      <w:pPr>
        <w:spacing w:line="240" w:lineRule="auto"/>
        <w:ind w:left="180"/>
        <w:jc w:val="both"/>
        <w:rPr>
          <w:sz w:val="18"/>
          <w:szCs w:val="18"/>
        </w:rPr>
      </w:pPr>
      <w:r w:rsidRPr="00973824">
        <w:rPr>
          <w:sz w:val="18"/>
          <w:szCs w:val="18"/>
        </w:rPr>
        <w:t xml:space="preserve">If all conditions are met and appropriate approvals are obtained (as applicable), the treating physician may use the Drug, Device or Biologic </w:t>
      </w:r>
      <w:r w:rsidRPr="00973824">
        <w:rPr>
          <w:i/>
          <w:sz w:val="18"/>
          <w:szCs w:val="18"/>
        </w:rPr>
        <w:t xml:space="preserve">after </w:t>
      </w:r>
      <w:r w:rsidRPr="00973824">
        <w:rPr>
          <w:sz w:val="18"/>
          <w:szCs w:val="18"/>
        </w:rPr>
        <w:t>obtaining informed consent (unless the emergency use meets the waiver conditions as determined by the criteria on the checklist</w:t>
      </w:r>
      <w:r w:rsidR="00DE295A">
        <w:rPr>
          <w:sz w:val="18"/>
          <w:szCs w:val="18"/>
        </w:rPr>
        <w:t xml:space="preserve">). </w:t>
      </w:r>
    </w:p>
    <w:p w14:paraId="61804456" w14:textId="77777777" w:rsidR="00597F0A" w:rsidRDefault="00973824" w:rsidP="00973824">
      <w:pPr>
        <w:spacing w:line="240" w:lineRule="auto"/>
        <w:ind w:left="180"/>
        <w:jc w:val="both"/>
        <w:rPr>
          <w:sz w:val="18"/>
          <w:szCs w:val="18"/>
        </w:rPr>
      </w:pPr>
      <w:r w:rsidRPr="00973824">
        <w:rPr>
          <w:sz w:val="18"/>
          <w:szCs w:val="18"/>
        </w:rPr>
        <w:br w:type="column"/>
      </w:r>
    </w:p>
    <w:p w14:paraId="10CA81DE" w14:textId="77777777" w:rsidR="00DE295A" w:rsidRPr="00973824" w:rsidRDefault="00DE295A" w:rsidP="00DE295A">
      <w:pPr>
        <w:spacing w:line="240" w:lineRule="auto"/>
        <w:jc w:val="both"/>
        <w:rPr>
          <w:sz w:val="18"/>
          <w:szCs w:val="18"/>
        </w:rPr>
      </w:pPr>
    </w:p>
    <w:p w14:paraId="43E4E755" w14:textId="77777777" w:rsidR="00973824" w:rsidRPr="00973824" w:rsidRDefault="00973824" w:rsidP="00973824">
      <w:pPr>
        <w:spacing w:line="240" w:lineRule="auto"/>
        <w:ind w:left="180"/>
        <w:rPr>
          <w:sz w:val="18"/>
          <w:szCs w:val="18"/>
        </w:rPr>
      </w:pPr>
    </w:p>
    <w:p w14:paraId="3F8B7EDF" w14:textId="77777777" w:rsidR="00973824" w:rsidRPr="00973824" w:rsidRDefault="00973824" w:rsidP="00973824">
      <w:pPr>
        <w:spacing w:line="240" w:lineRule="auto"/>
        <w:ind w:left="180"/>
        <w:rPr>
          <w:sz w:val="18"/>
          <w:szCs w:val="18"/>
        </w:rPr>
      </w:pPr>
    </w:p>
    <w:p w14:paraId="658F066E" w14:textId="77777777" w:rsidR="00973824" w:rsidRPr="00973824" w:rsidRDefault="00973824" w:rsidP="00973824">
      <w:pPr>
        <w:spacing w:line="240" w:lineRule="auto"/>
        <w:ind w:left="180"/>
        <w:rPr>
          <w:sz w:val="18"/>
          <w:szCs w:val="18"/>
        </w:rPr>
      </w:pPr>
    </w:p>
    <w:p w14:paraId="3AF6867F" w14:textId="77777777" w:rsidR="00973824" w:rsidRDefault="00973824" w:rsidP="00973824">
      <w:pPr>
        <w:spacing w:line="240" w:lineRule="auto"/>
        <w:ind w:left="180"/>
        <w:jc w:val="center"/>
        <w:rPr>
          <w:b/>
          <w:szCs w:val="18"/>
        </w:rPr>
      </w:pPr>
      <w:r w:rsidRPr="00973824">
        <w:rPr>
          <w:b/>
          <w:szCs w:val="18"/>
        </w:rPr>
        <w:t>Notify the IRB</w:t>
      </w:r>
    </w:p>
    <w:p w14:paraId="1E929C7E" w14:textId="77777777" w:rsidR="00DE295A" w:rsidRPr="003B7BE7" w:rsidRDefault="00DE295A" w:rsidP="003B7BE7">
      <w:pPr>
        <w:ind w:left="180"/>
        <w:jc w:val="both"/>
        <w:rPr>
          <w:b/>
          <w:sz w:val="18"/>
          <w:u w:val="single"/>
        </w:rPr>
      </w:pPr>
      <w:r w:rsidRPr="003B7BE7">
        <w:rPr>
          <w:b/>
          <w:sz w:val="18"/>
          <w:u w:val="single"/>
        </w:rPr>
        <w:t>Notify the IRB:</w:t>
      </w:r>
    </w:p>
    <w:p w14:paraId="798A45E4" w14:textId="42F95B30" w:rsidR="00973824" w:rsidRPr="00973824" w:rsidRDefault="00973824" w:rsidP="00DE295A">
      <w:pPr>
        <w:ind w:left="180"/>
        <w:jc w:val="both"/>
        <w:rPr>
          <w:sz w:val="18"/>
        </w:rPr>
      </w:pPr>
      <w:r w:rsidRPr="00973824">
        <w:rPr>
          <w:sz w:val="18"/>
        </w:rPr>
        <w:t xml:space="preserve">The treating physician must submit a </w:t>
      </w:r>
      <w:hyperlink r:id="rId15" w:history="1">
        <w:r w:rsidRPr="009664FF">
          <w:rPr>
            <w:rStyle w:val="Hyperlink"/>
            <w:b/>
            <w:i/>
            <w:sz w:val="18"/>
          </w:rPr>
          <w:t>Notification of Emergency Use</w:t>
        </w:r>
      </w:hyperlink>
      <w:r w:rsidRPr="00973824">
        <w:rPr>
          <w:sz w:val="18"/>
        </w:rPr>
        <w:t xml:space="preserve">, including the signed consent form (or certification of informed consent waiver) and the Emergency Use Checklist </w:t>
      </w:r>
      <w:r w:rsidRPr="00973824">
        <w:rPr>
          <w:b/>
          <w:sz w:val="18"/>
        </w:rPr>
        <w:t>within 5 days</w:t>
      </w:r>
      <w:r w:rsidRPr="00973824">
        <w:rPr>
          <w:sz w:val="18"/>
        </w:rPr>
        <w:t xml:space="preserve"> following the use of the test article </w:t>
      </w:r>
      <w:r w:rsidR="00DE295A">
        <w:rPr>
          <w:sz w:val="18"/>
        </w:rPr>
        <w:t xml:space="preserve">           </w:t>
      </w:r>
      <w:r w:rsidRPr="00973824">
        <w:rPr>
          <w:sz w:val="18"/>
        </w:rPr>
        <w:t xml:space="preserve">(THIS IS A FEDERAL REQUIREMENT). </w:t>
      </w:r>
    </w:p>
    <w:p w14:paraId="48A83DE7" w14:textId="77777777" w:rsidR="00973824" w:rsidRPr="00973824" w:rsidRDefault="00973824" w:rsidP="00DE295A">
      <w:pPr>
        <w:ind w:left="180"/>
        <w:jc w:val="both"/>
        <w:rPr>
          <w:sz w:val="18"/>
        </w:rPr>
      </w:pPr>
      <w:r w:rsidRPr="00973824">
        <w:rPr>
          <w:sz w:val="18"/>
        </w:rPr>
        <w:t>The IRB office staff will review the checklist and confirm there were no prior emergency uses in this circumstance.</w:t>
      </w:r>
    </w:p>
    <w:p w14:paraId="795BAD57" w14:textId="77777777" w:rsidR="00973824" w:rsidRPr="00973824" w:rsidRDefault="00973824" w:rsidP="00DE295A">
      <w:pPr>
        <w:ind w:left="180"/>
        <w:jc w:val="both"/>
        <w:rPr>
          <w:sz w:val="18"/>
        </w:rPr>
      </w:pPr>
      <w:r w:rsidRPr="00973824">
        <w:rPr>
          <w:sz w:val="18"/>
        </w:rPr>
        <w:t xml:space="preserve">The convened IRB will review the materials and determine whether the regulatory criteria were met and whether the plan for obtaining informed consent was appropriate. </w:t>
      </w:r>
    </w:p>
    <w:p w14:paraId="4D15EE6C" w14:textId="0B04CA87" w:rsidR="00973824" w:rsidRPr="00973824" w:rsidRDefault="00973824" w:rsidP="00DE295A">
      <w:pPr>
        <w:ind w:left="180"/>
        <w:jc w:val="both"/>
        <w:rPr>
          <w:sz w:val="18"/>
        </w:rPr>
      </w:pPr>
      <w:r w:rsidRPr="00973824">
        <w:rPr>
          <w:sz w:val="18"/>
        </w:rPr>
        <w:t xml:space="preserve">If the convened IRB determines that the regulatory criteria were not followed, the circumstance will be treated as Noncompliance according to the </w:t>
      </w:r>
      <w:hyperlink r:id="rId16" w:history="1">
        <w:r w:rsidRPr="009664FF">
          <w:rPr>
            <w:rStyle w:val="Hyperlink"/>
            <w:b/>
            <w:i/>
            <w:sz w:val="18"/>
          </w:rPr>
          <w:t>Noncompliance Policy and Procedure</w:t>
        </w:r>
      </w:hyperlink>
      <w:r w:rsidR="002E2686">
        <w:rPr>
          <w:b/>
          <w:i/>
          <w:sz w:val="18"/>
        </w:rPr>
        <w:t>.</w:t>
      </w:r>
    </w:p>
    <w:p w14:paraId="5D687CF9" w14:textId="77777777" w:rsidR="003B7BE7" w:rsidRDefault="00973824" w:rsidP="003B7BE7">
      <w:pPr>
        <w:ind w:left="180"/>
        <w:jc w:val="both"/>
        <w:rPr>
          <w:sz w:val="18"/>
        </w:rPr>
      </w:pPr>
      <w:r w:rsidRPr="00973824">
        <w:rPr>
          <w:sz w:val="18"/>
        </w:rPr>
        <w:t>The IRB will send communication to the treating physician summarizing the Board’s conclusion</w:t>
      </w:r>
      <w:r w:rsidR="002E2686">
        <w:rPr>
          <w:sz w:val="18"/>
        </w:rPr>
        <w:t>.</w:t>
      </w:r>
    </w:p>
    <w:p w14:paraId="0C8F5133" w14:textId="77777777" w:rsidR="003B7BE7" w:rsidRPr="00973824" w:rsidRDefault="003B7BE7" w:rsidP="003B7BE7">
      <w:pPr>
        <w:ind w:left="180"/>
        <w:jc w:val="both"/>
        <w:rPr>
          <w:sz w:val="18"/>
        </w:rPr>
      </w:pPr>
      <w:r w:rsidRPr="00973824">
        <w:rPr>
          <w:sz w:val="18"/>
        </w:rPr>
        <w:t>The IRB will track the Emergency Use to ensure there is no repeated use (repeated use would necessitate a research protocol).</w:t>
      </w:r>
    </w:p>
    <w:sectPr w:rsidR="003B7BE7" w:rsidRPr="00973824" w:rsidSect="00C54B0E">
      <w:type w:val="continuous"/>
      <w:pgSz w:w="12240" w:h="15840"/>
      <w:pgMar w:top="1440" w:right="540" w:bottom="720" w:left="630" w:header="450" w:footer="366" w:gutter="0"/>
      <w:cols w:num="3" w:space="4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744D6" w14:textId="77777777" w:rsidR="00BA6CDE" w:rsidRDefault="00BA6CDE" w:rsidP="00DE295A">
      <w:pPr>
        <w:spacing w:after="0" w:line="240" w:lineRule="auto"/>
      </w:pPr>
      <w:r>
        <w:separator/>
      </w:r>
    </w:p>
  </w:endnote>
  <w:endnote w:type="continuationSeparator" w:id="0">
    <w:p w14:paraId="3592C354" w14:textId="77777777" w:rsidR="00BA6CDE" w:rsidRDefault="00BA6CDE" w:rsidP="00DE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90308" w14:textId="77777777" w:rsidR="00E52042" w:rsidRDefault="00E52042" w:rsidP="00E52042">
    <w:pPr>
      <w:pStyle w:val="Footer"/>
      <w:jc w:val="right"/>
    </w:pPr>
    <w:r>
      <w:t>rev.0</w:t>
    </w:r>
    <w:r w:rsidR="00C304F6">
      <w:t>9/2017</w:t>
    </w:r>
  </w:p>
  <w:p w14:paraId="5CF61DC0" w14:textId="77777777" w:rsidR="00E52042" w:rsidRDefault="00E52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65988" w14:textId="77777777" w:rsidR="00BA6CDE" w:rsidRDefault="00BA6CDE" w:rsidP="00DE295A">
      <w:pPr>
        <w:spacing w:after="0" w:line="240" w:lineRule="auto"/>
      </w:pPr>
      <w:r>
        <w:separator/>
      </w:r>
    </w:p>
  </w:footnote>
  <w:footnote w:type="continuationSeparator" w:id="0">
    <w:p w14:paraId="12CB9290" w14:textId="77777777" w:rsidR="00BA6CDE" w:rsidRDefault="00BA6CDE" w:rsidP="00DE2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0143E2"/>
    <w:multiLevelType w:val="hybridMultilevel"/>
    <w:tmpl w:val="E5F45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88"/>
    <w:rsid w:val="0008702E"/>
    <w:rsid w:val="001027AD"/>
    <w:rsid w:val="002E2686"/>
    <w:rsid w:val="00371555"/>
    <w:rsid w:val="003B7BE7"/>
    <w:rsid w:val="004457EE"/>
    <w:rsid w:val="004B23E5"/>
    <w:rsid w:val="004B6354"/>
    <w:rsid w:val="00500663"/>
    <w:rsid w:val="00597F0A"/>
    <w:rsid w:val="007C40E8"/>
    <w:rsid w:val="007F0249"/>
    <w:rsid w:val="008445CB"/>
    <w:rsid w:val="008F48D8"/>
    <w:rsid w:val="00912F5D"/>
    <w:rsid w:val="00944788"/>
    <w:rsid w:val="009664FF"/>
    <w:rsid w:val="00973824"/>
    <w:rsid w:val="009F4CFC"/>
    <w:rsid w:val="00A148EA"/>
    <w:rsid w:val="00A66D0D"/>
    <w:rsid w:val="00BA6CDE"/>
    <w:rsid w:val="00C304F6"/>
    <w:rsid w:val="00C54B0E"/>
    <w:rsid w:val="00DE295A"/>
    <w:rsid w:val="00E33447"/>
    <w:rsid w:val="00E34E47"/>
    <w:rsid w:val="00E52042"/>
    <w:rsid w:val="00FA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6091D"/>
  <w15:docId w15:val="{B97CAF22-82B0-4A6E-B8D8-8D51179A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78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44788"/>
    <w:rPr>
      <w:i/>
      <w:iCs/>
    </w:rPr>
  </w:style>
  <w:style w:type="character" w:styleId="Hyperlink">
    <w:name w:val="Hyperlink"/>
    <w:basedOn w:val="DefaultParagraphFont"/>
    <w:uiPriority w:val="99"/>
    <w:unhideWhenUsed/>
    <w:rsid w:val="00597F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2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95A"/>
  </w:style>
  <w:style w:type="paragraph" w:styleId="Footer">
    <w:name w:val="footer"/>
    <w:basedOn w:val="Normal"/>
    <w:link w:val="FooterChar"/>
    <w:uiPriority w:val="99"/>
    <w:unhideWhenUsed/>
    <w:rsid w:val="00DE2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95A"/>
  </w:style>
  <w:style w:type="character" w:styleId="FollowedHyperlink">
    <w:name w:val="FollowedHyperlink"/>
    <w:basedOn w:val="DefaultParagraphFont"/>
    <w:uiPriority w:val="99"/>
    <w:semiHidden/>
    <w:unhideWhenUsed/>
    <w:rsid w:val="00E3344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3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4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4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44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14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uthscsa.edu/sites/default/files/Services/forms/eu_consent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thscsa.edu/sites/default/files/Services/forms/eu_device_checklist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thscsa.edu/sites/default/files/Services/forms/noncompliance_policy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hscsa.edu/sites/default/files/Services/forms/eu_drug_checklist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thscsa.edu/sites/default/files/Services/forms/eu_notification.docx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uthscsa.edu/sites/default/files/Services/forms/eu_certificatio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Oilepo</dc:creator>
  <cp:lastModifiedBy>cheryl</cp:lastModifiedBy>
  <cp:revision>4</cp:revision>
  <dcterms:created xsi:type="dcterms:W3CDTF">2018-08-06T15:16:00Z</dcterms:created>
  <dcterms:modified xsi:type="dcterms:W3CDTF">2020-09-24T15:51:00Z</dcterms:modified>
</cp:coreProperties>
</file>