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B18D" w14:textId="77777777" w:rsidR="00B32DDE" w:rsidRDefault="00BE1911" w:rsidP="00BE1911">
      <w:pPr>
        <w:spacing w:after="0"/>
        <w:rPr>
          <w:rFonts w:ascii="Calibri" w:eastAsia="Calibri" w:hAnsi="Calibri" w:cs="Calibri"/>
          <w:b/>
          <w:u w:val="single"/>
        </w:rPr>
      </w:pPr>
      <w:r w:rsidRPr="00BE1911">
        <w:rPr>
          <w:rFonts w:ascii="Calibri" w:eastAsia="Calibri" w:hAnsi="Calibri" w:cs="Calibri"/>
          <w:b/>
          <w:bCs/>
          <w:sz w:val="32"/>
          <w:szCs w:val="32"/>
        </w:rPr>
        <w:t xml:space="preserve">IRB </w:t>
      </w:r>
      <w:r w:rsidR="002C1E96">
        <w:rPr>
          <w:rFonts w:ascii="Calibri" w:eastAsia="Calibri" w:hAnsi="Calibri" w:cs="Calibri"/>
          <w:b/>
          <w:bCs/>
          <w:sz w:val="32"/>
          <w:szCs w:val="32"/>
        </w:rPr>
        <w:t xml:space="preserve">Authorization </w:t>
      </w:r>
      <w:r w:rsidRPr="00BE1911">
        <w:rPr>
          <w:rFonts w:ascii="Calibri" w:eastAsia="Calibri" w:hAnsi="Calibri" w:cs="Calibri"/>
          <w:b/>
          <w:bCs/>
          <w:sz w:val="32"/>
          <w:szCs w:val="32"/>
        </w:rPr>
        <w:t xml:space="preserve">Agreement Implementation Checklist </w:t>
      </w:r>
      <w:r>
        <w:rPr>
          <w:rFonts w:ascii="Calibri" w:eastAsia="Calibri" w:hAnsi="Calibri" w:cs="Calibri"/>
          <w:b/>
          <w:bCs/>
          <w:sz w:val="32"/>
          <w:szCs w:val="32"/>
        </w:rPr>
        <w:t>a</w:t>
      </w:r>
      <w:r w:rsidRPr="00BE1911">
        <w:rPr>
          <w:rFonts w:ascii="Calibri" w:eastAsia="Calibri" w:hAnsi="Calibri" w:cs="Calibri"/>
          <w:b/>
          <w:bCs/>
          <w:sz w:val="32"/>
          <w:szCs w:val="32"/>
        </w:rPr>
        <w:t>nd Documentation Tool</w:t>
      </w:r>
      <w:r w:rsidRPr="00BE1911">
        <w:rPr>
          <w:rFonts w:ascii="Calibri" w:eastAsia="Calibri" w:hAnsi="Calibri" w:cs="Calibri"/>
          <w:b/>
          <w:bCs/>
          <w:sz w:val="32"/>
          <w:szCs w:val="32"/>
        </w:rPr>
        <w:br/>
      </w:r>
    </w:p>
    <w:p w14:paraId="5B1BAC9D" w14:textId="77777777" w:rsidR="00A57B5A" w:rsidRDefault="00A57B5A" w:rsidP="00A57B5A">
      <w:pPr>
        <w:spacing w:after="0"/>
        <w:rPr>
          <w:rFonts w:ascii="Calibri" w:eastAsia="Calibri" w:hAnsi="Calibri" w:cs="Calibri"/>
        </w:rPr>
      </w:pPr>
    </w:p>
    <w:p w14:paraId="4FB9DA2D" w14:textId="77777777" w:rsidR="00A57B5A" w:rsidRDefault="00A57B5A" w:rsidP="00BE1911">
      <w:pPr>
        <w:spacing w:after="0"/>
        <w:outlineLvl w:val="0"/>
        <w:rPr>
          <w:rFonts w:ascii="Calibri" w:eastAsia="Calibri" w:hAnsi="Calibri" w:cs="Calibri"/>
        </w:rPr>
      </w:pPr>
      <w:r w:rsidRPr="003F7DEA">
        <w:rPr>
          <w:rFonts w:ascii="Calibri" w:eastAsia="Calibri" w:hAnsi="Calibri" w:cs="Calibri"/>
          <w:b/>
          <w:u w:val="single"/>
        </w:rPr>
        <w:t>Instructions</w:t>
      </w:r>
      <w:r>
        <w:rPr>
          <w:rFonts w:ascii="Calibri" w:eastAsia="Calibri" w:hAnsi="Calibri" w:cs="Calibri"/>
        </w:rPr>
        <w:t xml:space="preserve">: </w:t>
      </w:r>
    </w:p>
    <w:p w14:paraId="5C842DE5" w14:textId="2952B5C7" w:rsidR="008218A2" w:rsidRDefault="008218A2" w:rsidP="008218A2">
      <w:pPr>
        <w:pStyle w:val="ListParagraph"/>
        <w:numPr>
          <w:ilvl w:val="0"/>
          <w:numId w:val="1"/>
        </w:numPr>
        <w:spacing w:after="0"/>
        <w:contextualSpacing w:val="0"/>
        <w:rPr>
          <w:rFonts w:ascii="Calibri" w:eastAsia="Calibri" w:hAnsi="Calibri" w:cs="Calibri"/>
        </w:rPr>
      </w:pPr>
      <w:r>
        <w:rPr>
          <w:rFonts w:ascii="Calibri" w:eastAsia="Calibri" w:hAnsi="Calibri" w:cs="Calibri"/>
        </w:rPr>
        <w:t>The Overall PI will need to complete the s</w:t>
      </w:r>
      <w:r w:rsidRPr="003F7DEA">
        <w:rPr>
          <w:rFonts w:ascii="Calibri" w:eastAsia="Calibri" w:hAnsi="Calibri" w:cs="Calibri"/>
        </w:rPr>
        <w:t xml:space="preserve">tudy-specific information in </w:t>
      </w:r>
      <w:r w:rsidR="00900E18">
        <w:rPr>
          <w:rFonts w:ascii="Calibri" w:eastAsia="Calibri" w:hAnsi="Calibri" w:cs="Calibri"/>
        </w:rPr>
        <w:t>Section 1</w:t>
      </w:r>
      <w:r>
        <w:rPr>
          <w:rFonts w:ascii="Calibri" w:eastAsia="Calibri" w:hAnsi="Calibri" w:cs="Calibri"/>
        </w:rPr>
        <w:t xml:space="preserve">.  This document is to be  shared with the proposed Relying Institutions so that  any points of disagreement may be discussed and  updated where necessary. The Relying </w:t>
      </w:r>
      <w:proofErr w:type="spellStart"/>
      <w:r>
        <w:rPr>
          <w:rFonts w:ascii="Calibri" w:eastAsia="Calibri" w:hAnsi="Calibri" w:cs="Calibri"/>
        </w:rPr>
        <w:t>instiution</w:t>
      </w:r>
      <w:proofErr w:type="spellEnd"/>
      <w:r>
        <w:rPr>
          <w:rFonts w:ascii="Calibri" w:eastAsia="Calibri" w:hAnsi="Calibri" w:cs="Calibri"/>
        </w:rPr>
        <w:t xml:space="preserve"> will need to select flexible </w:t>
      </w:r>
      <w:r w:rsidRPr="008218A2">
        <w:rPr>
          <w:rFonts w:ascii="Calibri" w:eastAsia="Calibri" w:hAnsi="Calibri" w:cs="Calibri"/>
        </w:rPr>
        <w:t xml:space="preserve">IRB Authorization Agreement </w:t>
      </w:r>
      <w:r>
        <w:rPr>
          <w:rFonts w:ascii="Calibri" w:eastAsia="Calibri" w:hAnsi="Calibri" w:cs="Calibri"/>
        </w:rPr>
        <w:t>options</w:t>
      </w:r>
      <w:r w:rsidR="00900E18">
        <w:rPr>
          <w:rFonts w:ascii="Calibri" w:eastAsia="Calibri" w:hAnsi="Calibri" w:cs="Calibri"/>
        </w:rPr>
        <w:t xml:space="preserve"> in Section 2</w:t>
      </w:r>
      <w:r>
        <w:rPr>
          <w:rFonts w:ascii="Calibri" w:eastAsia="Calibri" w:hAnsi="Calibri" w:cs="Calibri"/>
        </w:rPr>
        <w:t xml:space="preserve">.  </w:t>
      </w:r>
    </w:p>
    <w:p w14:paraId="55E19556" w14:textId="2E125BD2" w:rsidR="008218A2" w:rsidRPr="005252B5" w:rsidRDefault="008218A2" w:rsidP="008218A2">
      <w:pPr>
        <w:pStyle w:val="ListParagraph"/>
        <w:numPr>
          <w:ilvl w:val="0"/>
          <w:numId w:val="1"/>
        </w:numPr>
        <w:spacing w:after="0"/>
        <w:contextualSpacing w:val="0"/>
      </w:pPr>
      <w:r>
        <w:t xml:space="preserve">For each provision identified below, the UTHSA  IRB will work with relevant individuals at their institutions to identify and record the appropriate option and any sub-options as agreed upon by the involved Relying Institutions for the identified study. </w:t>
      </w:r>
    </w:p>
    <w:p w14:paraId="4A2AFAB4" w14:textId="77777777" w:rsidR="008218A2" w:rsidRDefault="008218A2" w:rsidP="008218A2">
      <w:pPr>
        <w:spacing w:after="0"/>
        <w:rPr>
          <w:rFonts w:ascii="Calibri" w:eastAsia="Calibri" w:hAnsi="Calibri" w:cs="Calibri"/>
        </w:rPr>
      </w:pPr>
    </w:p>
    <w:p w14:paraId="6DE0ABE5" w14:textId="77777777" w:rsidR="008218A2" w:rsidRPr="000E39B4" w:rsidRDefault="008218A2" w:rsidP="008218A2">
      <w:pPr>
        <w:spacing w:after="0"/>
        <w:outlineLvl w:val="0"/>
        <w:rPr>
          <w:rFonts w:ascii="Calibri" w:eastAsia="Calibri" w:hAnsi="Calibri" w:cs="Calibri"/>
        </w:rPr>
      </w:pPr>
      <w:r>
        <w:rPr>
          <w:rFonts w:ascii="Calibri" w:eastAsia="Calibri" w:hAnsi="Calibri" w:cs="Calibri"/>
        </w:rPr>
        <w:t>NOTE:</w:t>
      </w:r>
    </w:p>
    <w:p w14:paraId="5F2F6E98" w14:textId="77777777" w:rsidR="008218A2" w:rsidRPr="000E39B4" w:rsidRDefault="008218A2" w:rsidP="008218A2">
      <w:pPr>
        <w:pStyle w:val="ListParagraph"/>
        <w:numPr>
          <w:ilvl w:val="0"/>
          <w:numId w:val="8"/>
        </w:numPr>
        <w:spacing w:after="0"/>
        <w:rPr>
          <w:rFonts w:ascii="Calibri" w:eastAsia="Calibri" w:hAnsi="Calibri" w:cs="Calibri"/>
        </w:rPr>
      </w:pPr>
      <w:r w:rsidRPr="008218A2">
        <w:rPr>
          <w:sz w:val="21"/>
          <w:szCs w:val="21"/>
        </w:rPr>
        <w:t>The UTHSA IRB uses</w:t>
      </w:r>
      <w:r>
        <w:rPr>
          <w:rFonts w:ascii="Calibri" w:eastAsia="Calibri" w:hAnsi="Calibri" w:cs="Calibri"/>
        </w:rPr>
        <w:t xml:space="preserve"> </w:t>
      </w:r>
      <w:hyperlink r:id="rId7" w:history="1">
        <w:r w:rsidRPr="000C4BE4">
          <w:rPr>
            <w:rStyle w:val="Hyperlink"/>
            <w:rFonts w:ascii="Calibri" w:eastAsia="Calibri" w:hAnsi="Calibri" w:cs="Calibri"/>
          </w:rPr>
          <w:t>SMART IRB Standard Operating Procedures</w:t>
        </w:r>
      </w:hyperlink>
      <w:r>
        <w:rPr>
          <w:rFonts w:ascii="Calibri" w:eastAsia="Calibri" w:hAnsi="Calibri" w:cs="Calibri"/>
        </w:rPr>
        <w:t xml:space="preserve"> </w:t>
      </w:r>
      <w:r w:rsidRPr="008218A2">
        <w:rPr>
          <w:sz w:val="21"/>
          <w:szCs w:val="21"/>
        </w:rPr>
        <w:t xml:space="preserve">to define the Lead Study Team as </w:t>
      </w:r>
      <w:r>
        <w:rPr>
          <w:sz w:val="21"/>
          <w:szCs w:val="21"/>
        </w:rPr>
        <w:t>the group designated by the Overall PI that works in collaboration with the Reviewing IRB to ensure coordination of communication to and from all Relying Site Study Teams, routing all IRB submissions to the Reviewing IRB and communicating IRB determinations to Site Investigators.</w:t>
      </w:r>
    </w:p>
    <w:p w14:paraId="1884A196" w14:textId="28050FA0" w:rsidR="00564AFE" w:rsidRDefault="00564AFE">
      <w:pPr>
        <w:spacing w:after="160" w:line="259" w:lineRule="auto"/>
      </w:pPr>
    </w:p>
    <w:p w14:paraId="49D5CF1F" w14:textId="2A77AC2F" w:rsidR="00900E18" w:rsidRDefault="00900E18">
      <w:pPr>
        <w:spacing w:after="160" w:line="259" w:lineRule="auto"/>
      </w:pPr>
      <w:r>
        <w:t>Section 1</w:t>
      </w:r>
    </w:p>
    <w:tbl>
      <w:tblPr>
        <w:tblStyle w:val="TableGrid"/>
        <w:tblW w:w="108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86" w:type="dxa"/>
          <w:bottom w:w="86" w:type="dxa"/>
          <w:right w:w="86" w:type="dxa"/>
        </w:tblCellMar>
        <w:tblLook w:val="04A0" w:firstRow="1" w:lastRow="0" w:firstColumn="1" w:lastColumn="0" w:noHBand="0" w:noVBand="1"/>
      </w:tblPr>
      <w:tblGrid>
        <w:gridCol w:w="2361"/>
        <w:gridCol w:w="8439"/>
      </w:tblGrid>
      <w:tr w:rsidR="00AB0750" w14:paraId="7DBF1C45" w14:textId="77777777" w:rsidTr="0014734B">
        <w:trPr>
          <w:trHeight w:val="273"/>
        </w:trPr>
        <w:tc>
          <w:tcPr>
            <w:tcW w:w="2361" w:type="dxa"/>
          </w:tcPr>
          <w:p w14:paraId="45F92A13" w14:textId="77777777" w:rsidR="00AB0750" w:rsidRPr="00DF0BCA" w:rsidRDefault="00AB0750" w:rsidP="004E5AC1">
            <w:pPr>
              <w:spacing w:after="120"/>
              <w:rPr>
                <w:rFonts w:ascii="Calibri" w:eastAsia="Calibri" w:hAnsi="Calibri" w:cs="Calibri"/>
                <w:b/>
              </w:rPr>
            </w:pPr>
            <w:r>
              <w:rPr>
                <w:rFonts w:ascii="Calibri" w:eastAsia="Calibri" w:hAnsi="Calibri" w:cs="Calibri"/>
                <w:b/>
              </w:rPr>
              <w:t>Study Title:</w:t>
            </w:r>
          </w:p>
        </w:tc>
        <w:tc>
          <w:tcPr>
            <w:tcW w:w="8439" w:type="dxa"/>
          </w:tcPr>
          <w:p w14:paraId="02CFECE1" w14:textId="77777777" w:rsidR="00AB0750" w:rsidRDefault="00AB0750" w:rsidP="004E5AC1">
            <w:pPr>
              <w:spacing w:after="120"/>
              <w:rPr>
                <w:rFonts w:ascii="Calibri" w:eastAsia="Calibri" w:hAnsi="Calibri" w:cs="Calibri"/>
              </w:rPr>
            </w:pPr>
          </w:p>
        </w:tc>
      </w:tr>
      <w:tr w:rsidR="00AB0750" w14:paraId="29D0923D" w14:textId="77777777" w:rsidTr="0014734B">
        <w:trPr>
          <w:trHeight w:val="258"/>
        </w:trPr>
        <w:tc>
          <w:tcPr>
            <w:tcW w:w="2361" w:type="dxa"/>
          </w:tcPr>
          <w:p w14:paraId="27AC8D8A" w14:textId="77777777" w:rsidR="00AB0750" w:rsidRPr="00DF0BCA" w:rsidRDefault="00AB0750" w:rsidP="004E5AC1">
            <w:pPr>
              <w:spacing w:after="120"/>
              <w:rPr>
                <w:rFonts w:ascii="Calibri" w:eastAsia="Calibri" w:hAnsi="Calibri" w:cs="Calibri"/>
                <w:b/>
              </w:rPr>
            </w:pPr>
            <w:r w:rsidRPr="00DF0BCA">
              <w:rPr>
                <w:rFonts w:ascii="Calibri" w:eastAsia="Calibri" w:hAnsi="Calibri" w:cs="Calibri"/>
                <w:b/>
              </w:rPr>
              <w:t>Overall PI:</w:t>
            </w:r>
          </w:p>
        </w:tc>
        <w:tc>
          <w:tcPr>
            <w:tcW w:w="8439" w:type="dxa"/>
          </w:tcPr>
          <w:p w14:paraId="21BEA51A" w14:textId="77777777" w:rsidR="00AB0750" w:rsidRDefault="00AB0750" w:rsidP="004E5AC1">
            <w:pPr>
              <w:spacing w:after="120"/>
              <w:rPr>
                <w:rFonts w:ascii="Calibri" w:eastAsia="Calibri" w:hAnsi="Calibri" w:cs="Calibri"/>
              </w:rPr>
            </w:pPr>
          </w:p>
        </w:tc>
      </w:tr>
      <w:tr w:rsidR="00AB0750" w14:paraId="3E9B13B8" w14:textId="77777777" w:rsidTr="0014734B">
        <w:trPr>
          <w:trHeight w:val="258"/>
        </w:trPr>
        <w:tc>
          <w:tcPr>
            <w:tcW w:w="2361" w:type="dxa"/>
          </w:tcPr>
          <w:p w14:paraId="4187060D" w14:textId="77777777" w:rsidR="00AB0750" w:rsidRPr="00DF0BCA" w:rsidRDefault="00AB0750" w:rsidP="004E5AC1">
            <w:pPr>
              <w:spacing w:after="120"/>
              <w:rPr>
                <w:rFonts w:ascii="Calibri" w:eastAsia="Calibri" w:hAnsi="Calibri" w:cs="Calibri"/>
                <w:b/>
              </w:rPr>
            </w:pPr>
            <w:r>
              <w:rPr>
                <w:rFonts w:ascii="Calibri" w:eastAsia="Calibri" w:hAnsi="Calibri" w:cs="Calibri"/>
                <w:b/>
              </w:rPr>
              <w:t xml:space="preserve">Site Investigator(s) </w:t>
            </w:r>
          </w:p>
        </w:tc>
        <w:tc>
          <w:tcPr>
            <w:tcW w:w="8439" w:type="dxa"/>
          </w:tcPr>
          <w:p w14:paraId="73FFFD08" w14:textId="77777777" w:rsidR="00AB0750" w:rsidRDefault="00AB0750" w:rsidP="004E5AC1">
            <w:pPr>
              <w:spacing w:after="120"/>
              <w:rPr>
                <w:rFonts w:ascii="Calibri" w:eastAsia="Calibri" w:hAnsi="Calibri" w:cs="Calibri"/>
              </w:rPr>
            </w:pPr>
          </w:p>
        </w:tc>
      </w:tr>
      <w:tr w:rsidR="00AB0750" w14:paraId="3521FB54" w14:textId="77777777" w:rsidTr="0014734B">
        <w:trPr>
          <w:trHeight w:val="258"/>
        </w:trPr>
        <w:tc>
          <w:tcPr>
            <w:tcW w:w="2361" w:type="dxa"/>
          </w:tcPr>
          <w:p w14:paraId="5E503E67" w14:textId="77777777" w:rsidR="00AB0750" w:rsidRPr="00DF0BCA" w:rsidRDefault="00AB0750" w:rsidP="004E5AC1">
            <w:pPr>
              <w:spacing w:after="120"/>
              <w:rPr>
                <w:rFonts w:ascii="Calibri" w:eastAsia="Calibri" w:hAnsi="Calibri" w:cs="Calibri"/>
                <w:b/>
              </w:rPr>
            </w:pPr>
            <w:r>
              <w:rPr>
                <w:rFonts w:ascii="Calibri" w:eastAsia="Calibri" w:hAnsi="Calibri" w:cs="Calibri"/>
                <w:b/>
              </w:rPr>
              <w:t>Study ID No.</w:t>
            </w:r>
          </w:p>
        </w:tc>
        <w:tc>
          <w:tcPr>
            <w:tcW w:w="8439" w:type="dxa"/>
          </w:tcPr>
          <w:p w14:paraId="4776D6F9" w14:textId="77777777" w:rsidR="00AB0750" w:rsidRDefault="00AB0750" w:rsidP="004E5AC1">
            <w:pPr>
              <w:spacing w:after="120"/>
              <w:rPr>
                <w:rFonts w:ascii="Calibri" w:eastAsia="Calibri" w:hAnsi="Calibri" w:cs="Calibri"/>
              </w:rPr>
            </w:pPr>
          </w:p>
        </w:tc>
      </w:tr>
      <w:tr w:rsidR="00AB0750" w14:paraId="29ADB8AA" w14:textId="77777777" w:rsidTr="0014734B">
        <w:trPr>
          <w:trHeight w:val="273"/>
        </w:trPr>
        <w:tc>
          <w:tcPr>
            <w:tcW w:w="2361" w:type="dxa"/>
          </w:tcPr>
          <w:p w14:paraId="73B39C6E" w14:textId="77777777" w:rsidR="00AB0750" w:rsidRPr="00DF0BCA" w:rsidRDefault="00AB0750" w:rsidP="004E5AC1">
            <w:pPr>
              <w:spacing w:after="120"/>
              <w:rPr>
                <w:rFonts w:ascii="Calibri" w:eastAsia="Calibri" w:hAnsi="Calibri" w:cs="Calibri"/>
                <w:b/>
              </w:rPr>
            </w:pPr>
            <w:r>
              <w:rPr>
                <w:rFonts w:ascii="Calibri" w:eastAsia="Calibri" w:hAnsi="Calibri" w:cs="Calibri"/>
                <w:b/>
              </w:rPr>
              <w:t>Reviewing IRB:</w:t>
            </w:r>
          </w:p>
        </w:tc>
        <w:tc>
          <w:tcPr>
            <w:tcW w:w="8439" w:type="dxa"/>
          </w:tcPr>
          <w:p w14:paraId="4C851CC6" w14:textId="77777777" w:rsidR="00AB0750" w:rsidRDefault="00AB0750" w:rsidP="004E5AC1">
            <w:pPr>
              <w:spacing w:after="120"/>
              <w:rPr>
                <w:rFonts w:ascii="Calibri" w:eastAsia="Calibri" w:hAnsi="Calibri" w:cs="Calibri"/>
              </w:rPr>
            </w:pPr>
          </w:p>
        </w:tc>
      </w:tr>
      <w:tr w:rsidR="00AB0750" w14:paraId="4A3F6F1A" w14:textId="77777777" w:rsidTr="0014734B">
        <w:trPr>
          <w:trHeight w:val="258"/>
        </w:trPr>
        <w:tc>
          <w:tcPr>
            <w:tcW w:w="2361" w:type="dxa"/>
          </w:tcPr>
          <w:p w14:paraId="08921858" w14:textId="77777777" w:rsidR="00AB0750" w:rsidRPr="00DF0BCA" w:rsidRDefault="00AB0750" w:rsidP="004E5AC1">
            <w:pPr>
              <w:spacing w:after="120"/>
              <w:rPr>
                <w:rFonts w:ascii="Calibri" w:eastAsia="Calibri" w:hAnsi="Calibri" w:cs="Calibri"/>
                <w:b/>
              </w:rPr>
            </w:pPr>
            <w:r w:rsidRPr="00DF0BCA">
              <w:rPr>
                <w:rFonts w:ascii="Calibri" w:eastAsia="Calibri" w:hAnsi="Calibri" w:cs="Calibri"/>
                <w:b/>
              </w:rPr>
              <w:t>Relying Institution(s):</w:t>
            </w:r>
          </w:p>
        </w:tc>
        <w:tc>
          <w:tcPr>
            <w:tcW w:w="8439" w:type="dxa"/>
          </w:tcPr>
          <w:p w14:paraId="67BC9F7D" w14:textId="77777777" w:rsidR="00AB0750" w:rsidRDefault="00AB0750" w:rsidP="004E5AC1">
            <w:pPr>
              <w:spacing w:after="120"/>
              <w:rPr>
                <w:rFonts w:ascii="Calibri" w:eastAsia="Calibri" w:hAnsi="Calibri" w:cs="Calibri"/>
              </w:rPr>
            </w:pPr>
          </w:p>
        </w:tc>
      </w:tr>
      <w:tr w:rsidR="00AB0750" w14:paraId="710782D7" w14:textId="77777777" w:rsidTr="0014734B">
        <w:trPr>
          <w:trHeight w:val="258"/>
        </w:trPr>
        <w:tc>
          <w:tcPr>
            <w:tcW w:w="2361" w:type="dxa"/>
          </w:tcPr>
          <w:p w14:paraId="7E961979" w14:textId="35BA15CE" w:rsidR="00AB0750" w:rsidRPr="00DF0BCA" w:rsidRDefault="00AB0750" w:rsidP="00D171AF">
            <w:pPr>
              <w:spacing w:after="120"/>
              <w:rPr>
                <w:rFonts w:ascii="Calibri" w:eastAsia="Calibri" w:hAnsi="Calibri" w:cs="Calibri"/>
                <w:b/>
              </w:rPr>
            </w:pPr>
            <w:r>
              <w:rPr>
                <w:rFonts w:ascii="Calibri" w:eastAsia="Calibri" w:hAnsi="Calibri" w:cs="Calibri"/>
                <w:b/>
              </w:rPr>
              <w:t>Lead Study Team</w:t>
            </w:r>
            <w:r w:rsidR="00564AFE">
              <w:rPr>
                <w:rFonts w:ascii="Calibri" w:eastAsia="Calibri" w:hAnsi="Calibri" w:cs="Calibri"/>
                <w:b/>
              </w:rPr>
              <w:t xml:space="preserve"> (if applicable)</w:t>
            </w:r>
            <w:r>
              <w:rPr>
                <w:rFonts w:ascii="Calibri" w:eastAsia="Calibri" w:hAnsi="Calibri" w:cs="Calibri"/>
                <w:b/>
              </w:rPr>
              <w:t>:</w:t>
            </w:r>
          </w:p>
        </w:tc>
        <w:tc>
          <w:tcPr>
            <w:tcW w:w="8439" w:type="dxa"/>
          </w:tcPr>
          <w:p w14:paraId="5F5C3FC6" w14:textId="77777777" w:rsidR="00AB0750" w:rsidRDefault="00AB0750" w:rsidP="004E5AC1">
            <w:pPr>
              <w:spacing w:after="120"/>
              <w:rPr>
                <w:rFonts w:ascii="Calibri" w:eastAsia="Calibri" w:hAnsi="Calibri" w:cs="Calibri"/>
              </w:rPr>
            </w:pPr>
          </w:p>
        </w:tc>
      </w:tr>
      <w:tr w:rsidR="00AB0750" w14:paraId="674DF5C0" w14:textId="77777777" w:rsidTr="0014734B">
        <w:trPr>
          <w:trHeight w:val="258"/>
        </w:trPr>
        <w:tc>
          <w:tcPr>
            <w:tcW w:w="2361" w:type="dxa"/>
          </w:tcPr>
          <w:p w14:paraId="4833723C" w14:textId="77777777" w:rsidR="00AB0750" w:rsidRPr="004C1D56" w:rsidRDefault="00AB0750" w:rsidP="004E5AC1">
            <w:pPr>
              <w:spacing w:after="120"/>
              <w:rPr>
                <w:rFonts w:ascii="Calibri" w:eastAsia="Calibri" w:hAnsi="Calibri" w:cs="Calibri"/>
                <w:b/>
              </w:rPr>
            </w:pPr>
            <w:r w:rsidRPr="004C1D56">
              <w:rPr>
                <w:rFonts w:ascii="Calibri" w:eastAsia="Calibri" w:hAnsi="Calibri" w:cs="Calibri"/>
                <w:b/>
              </w:rPr>
              <w:t>Date Tool Completed:</w:t>
            </w:r>
          </w:p>
        </w:tc>
        <w:tc>
          <w:tcPr>
            <w:tcW w:w="8439" w:type="dxa"/>
          </w:tcPr>
          <w:p w14:paraId="78B232A6" w14:textId="77777777" w:rsidR="00AB0750" w:rsidRDefault="00AB0750" w:rsidP="004E5AC1">
            <w:pPr>
              <w:spacing w:after="120"/>
              <w:rPr>
                <w:rFonts w:ascii="Calibri" w:eastAsia="Calibri" w:hAnsi="Calibri" w:cs="Calibri"/>
              </w:rPr>
            </w:pPr>
          </w:p>
        </w:tc>
      </w:tr>
    </w:tbl>
    <w:p w14:paraId="4DC7FFC0" w14:textId="77777777" w:rsidR="00BB1BAA" w:rsidRDefault="00BB1BAA">
      <w:pPr>
        <w:spacing w:after="160" w:line="259" w:lineRule="auto"/>
      </w:pPr>
    </w:p>
    <w:p w14:paraId="2037D743" w14:textId="77777777" w:rsidR="00BB1BAA" w:rsidRDefault="00BB1BAA">
      <w:pPr>
        <w:spacing w:after="160" w:line="259" w:lineRule="auto"/>
      </w:pPr>
    </w:p>
    <w:p w14:paraId="7991D5F6" w14:textId="0CAB3C60" w:rsidR="00AB0750" w:rsidRDefault="00900E18">
      <w:pPr>
        <w:spacing w:after="160" w:line="259" w:lineRule="auto"/>
      </w:pPr>
      <w:r>
        <w:lastRenderedPageBreak/>
        <w:t>Section 2</w:t>
      </w:r>
    </w:p>
    <w:tbl>
      <w:tblPr>
        <w:tblStyle w:val="TableGrid"/>
        <w:tblW w:w="10838"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86" w:type="dxa"/>
          <w:bottom w:w="86" w:type="dxa"/>
          <w:right w:w="86" w:type="dxa"/>
        </w:tblCellMar>
        <w:tblLook w:val="04A0" w:firstRow="1" w:lastRow="0" w:firstColumn="1" w:lastColumn="0" w:noHBand="0" w:noVBand="1"/>
      </w:tblPr>
      <w:tblGrid>
        <w:gridCol w:w="3595"/>
        <w:gridCol w:w="7243"/>
      </w:tblGrid>
      <w:tr w:rsidR="00355DC9" w14:paraId="07E07454" w14:textId="77777777" w:rsidTr="008640C8">
        <w:tc>
          <w:tcPr>
            <w:tcW w:w="10838" w:type="dxa"/>
            <w:gridSpan w:val="2"/>
            <w:shd w:val="clear" w:color="auto" w:fill="D9D9D9" w:themeFill="background1" w:themeFillShade="D9"/>
          </w:tcPr>
          <w:p w14:paraId="293ADFBC" w14:textId="5E773AA1" w:rsidR="00355DC9" w:rsidRDefault="00355DC9">
            <w:r w:rsidRPr="00355DC9">
              <w:rPr>
                <w:b/>
              </w:rPr>
              <w:t>Reviewing IRB</w:t>
            </w:r>
          </w:p>
        </w:tc>
      </w:tr>
      <w:tr w:rsidR="00DF45E0" w14:paraId="42426DD8" w14:textId="77777777" w:rsidTr="008640C8">
        <w:tc>
          <w:tcPr>
            <w:tcW w:w="3595" w:type="dxa"/>
          </w:tcPr>
          <w:p w14:paraId="55050C0B" w14:textId="77777777" w:rsidR="00DF45E0" w:rsidRPr="00D37D6A" w:rsidRDefault="00DF45E0" w:rsidP="00DF45E0">
            <w:pPr>
              <w:pStyle w:val="ListParagraph"/>
              <w:numPr>
                <w:ilvl w:val="0"/>
                <w:numId w:val="2"/>
              </w:numPr>
              <w:rPr>
                <w:b/>
              </w:rPr>
            </w:pPr>
            <w:r w:rsidRPr="00D37D6A">
              <w:rPr>
                <w:b/>
              </w:rPr>
              <w:t>Notification of Acceptance or Declination of Ceded Review</w:t>
            </w:r>
          </w:p>
          <w:p w14:paraId="48DB77CF" w14:textId="091A3717" w:rsidR="00D37D6A" w:rsidRPr="004E5AC1" w:rsidRDefault="00D37D6A" w:rsidP="00D37D6A">
            <w:pPr>
              <w:ind w:left="360"/>
              <w:rPr>
                <w:i/>
              </w:rPr>
            </w:pPr>
          </w:p>
        </w:tc>
        <w:tc>
          <w:tcPr>
            <w:tcW w:w="7243" w:type="dxa"/>
          </w:tcPr>
          <w:p w14:paraId="422003CE" w14:textId="735165D3" w:rsidR="00DF45E0" w:rsidRDefault="00830EF3" w:rsidP="00DF45E0">
            <w:pPr>
              <w:spacing w:after="0"/>
            </w:pPr>
            <w:sdt>
              <w:sdtPr>
                <w:rPr>
                  <w:b/>
                </w:rPr>
                <w:id w:val="1711834794"/>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DF45E0" w:rsidRPr="00883C63">
              <w:t xml:space="preserve"> </w:t>
            </w:r>
            <w:r w:rsidR="00DF45E0" w:rsidRPr="00696251">
              <w:rPr>
                <w:rFonts w:ascii="Calibri" w:eastAsia="Calibri" w:hAnsi="Calibri" w:cs="Calibri"/>
                <w:b/>
              </w:rPr>
              <w:t>OPTION 1</w:t>
            </w:r>
            <w:r w:rsidR="00DF45E0" w:rsidRPr="00316893">
              <w:t xml:space="preserve"> – </w:t>
            </w:r>
            <w:r w:rsidR="00DF45E0" w:rsidRPr="000374B2">
              <w:rPr>
                <w:b/>
              </w:rPr>
              <w:t xml:space="preserve">Reviewing IRB </w:t>
            </w:r>
            <w:r w:rsidR="00DF45E0">
              <w:rPr>
                <w:b/>
              </w:rPr>
              <w:t>will provide</w:t>
            </w:r>
            <w:r w:rsidR="00DF45E0" w:rsidRPr="000374B2">
              <w:rPr>
                <w:b/>
              </w:rPr>
              <w:t xml:space="preserve"> notification</w:t>
            </w:r>
          </w:p>
          <w:p w14:paraId="54C95214" w14:textId="77777777" w:rsidR="00DF45E0" w:rsidRDefault="00DF45E0" w:rsidP="001B7A23">
            <w:pPr>
              <w:ind w:left="270"/>
            </w:pPr>
            <w:r w:rsidRPr="00316893">
              <w:t>The</w:t>
            </w:r>
            <w:r>
              <w:t xml:space="preserve"> Reviewing IRB will notify the Overall PI (or designee), the Site Investigator(s), and involved Participating Institution(s) </w:t>
            </w:r>
            <w:r>
              <w:rPr>
                <w:rFonts w:ascii="Calibri" w:eastAsia="Calibri" w:hAnsi="Calibri" w:cs="Calibri"/>
              </w:rPr>
              <w:t>whether the identified study(</w:t>
            </w:r>
            <w:proofErr w:type="spellStart"/>
            <w:r>
              <w:rPr>
                <w:rFonts w:ascii="Calibri" w:eastAsia="Calibri" w:hAnsi="Calibri" w:cs="Calibri"/>
              </w:rPr>
              <w:t>ies</w:t>
            </w:r>
            <w:proofErr w:type="spellEnd"/>
            <w:r>
              <w:rPr>
                <w:rFonts w:ascii="Calibri" w:eastAsia="Calibri" w:hAnsi="Calibri" w:cs="Calibri"/>
              </w:rPr>
              <w:t>) is accepted for Ceded Review and, if accepted, the designation of the Reviewing IRB and Relying Institutions</w:t>
            </w:r>
            <w:r>
              <w:t>. This can be accomplished through the SMART IRB Online Reliance System or another mechanism.</w:t>
            </w:r>
          </w:p>
          <w:p w14:paraId="4B9388FE" w14:textId="77777777" w:rsidR="00DF45E0" w:rsidRDefault="00830EF3" w:rsidP="001B7A23">
            <w:pPr>
              <w:spacing w:after="0"/>
              <w:ind w:left="270" w:hanging="270"/>
            </w:pPr>
            <w:sdt>
              <w:sdtPr>
                <w:rPr>
                  <w:b/>
                </w:rPr>
                <w:id w:val="-2088993108"/>
                <w14:checkbox>
                  <w14:checked w14:val="0"/>
                  <w14:checkedState w14:val="2612" w14:font="MS Gothic"/>
                  <w14:uncheckedState w14:val="2610" w14:font="MS Gothic"/>
                </w14:checkbox>
              </w:sdtPr>
              <w:sdtEndPr/>
              <w:sdtContent>
                <w:r w:rsidR="00DF45E0">
                  <w:rPr>
                    <w:rFonts w:ascii="MS Gothic" w:eastAsia="MS Gothic" w:hAnsi="MS Gothic" w:hint="eastAsia"/>
                    <w:b/>
                  </w:rPr>
                  <w:t>☐</w:t>
                </w:r>
              </w:sdtContent>
            </w:sdt>
            <w:r w:rsidR="00DF45E0" w:rsidRPr="00883C63">
              <w:t xml:space="preserve"> </w:t>
            </w:r>
            <w:r w:rsidR="00DF45E0">
              <w:rPr>
                <w:rFonts w:ascii="Calibri" w:eastAsia="Calibri" w:hAnsi="Calibri" w:cs="Calibri"/>
                <w:b/>
              </w:rPr>
              <w:t>OPTION 2</w:t>
            </w:r>
            <w:r w:rsidR="00DF45E0" w:rsidRPr="00696251">
              <w:rPr>
                <w:rFonts w:ascii="Calibri" w:eastAsia="Calibri" w:hAnsi="Calibri" w:cs="Calibri"/>
                <w:b/>
              </w:rPr>
              <w:t xml:space="preserve"> </w:t>
            </w:r>
            <w:r w:rsidR="00DF45E0" w:rsidRPr="00316893">
              <w:t xml:space="preserve">– </w:t>
            </w:r>
            <w:r w:rsidR="00DF45E0" w:rsidRPr="00B043B8">
              <w:rPr>
                <w:b/>
              </w:rPr>
              <w:t xml:space="preserve">Another party </w:t>
            </w:r>
            <w:r w:rsidR="00DF45E0">
              <w:rPr>
                <w:b/>
              </w:rPr>
              <w:t>will provide</w:t>
            </w:r>
            <w:r w:rsidR="00DF45E0" w:rsidRPr="00B043B8">
              <w:rPr>
                <w:b/>
              </w:rPr>
              <w:t xml:space="preserve"> notification</w:t>
            </w:r>
          </w:p>
          <w:p w14:paraId="7F8DB388" w14:textId="77777777" w:rsidR="00F82F76" w:rsidRDefault="00F82F76" w:rsidP="001B7A23">
            <w:pPr>
              <w:ind w:left="270"/>
            </w:pPr>
          </w:p>
          <w:p w14:paraId="453C57B3" w14:textId="35F7D406" w:rsidR="00DF45E0" w:rsidRDefault="00DF45E0" w:rsidP="001B7A23">
            <w:pPr>
              <w:ind w:left="270"/>
            </w:pPr>
            <w:r>
              <w:t xml:space="preserve">will notify the Overall PI and the Site Investigator(s) and involved Participating Institution(s) </w:t>
            </w:r>
            <w:r>
              <w:rPr>
                <w:rFonts w:ascii="Calibri" w:eastAsia="Calibri" w:hAnsi="Calibri" w:cs="Calibri"/>
              </w:rPr>
              <w:t>whether the identified study(</w:t>
            </w:r>
            <w:proofErr w:type="spellStart"/>
            <w:r>
              <w:rPr>
                <w:rFonts w:ascii="Calibri" w:eastAsia="Calibri" w:hAnsi="Calibri" w:cs="Calibri"/>
              </w:rPr>
              <w:t>ies</w:t>
            </w:r>
            <w:proofErr w:type="spellEnd"/>
            <w:r>
              <w:rPr>
                <w:rFonts w:ascii="Calibri" w:eastAsia="Calibri" w:hAnsi="Calibri" w:cs="Calibri"/>
              </w:rPr>
              <w:t>) is accepted for Ceded Review and, if accepted, the designation of the Reviewing IRB and Relying Institutions</w:t>
            </w:r>
            <w:r>
              <w:t>.</w:t>
            </w:r>
          </w:p>
          <w:p w14:paraId="36FD43AC" w14:textId="2052068D" w:rsidR="00DF45E0" w:rsidRDefault="00830EF3" w:rsidP="00EA7EB7">
            <w:pPr>
              <w:spacing w:after="0"/>
              <w:ind w:left="288" w:hanging="288"/>
              <w:rPr>
                <w:rFonts w:ascii="Calibri" w:eastAsia="Calibri" w:hAnsi="Calibri" w:cs="Calibri"/>
              </w:rPr>
            </w:pPr>
            <w:sdt>
              <w:sdtPr>
                <w:rPr>
                  <w:b/>
                </w:rPr>
                <w:id w:val="-125861950"/>
                <w14:checkbox>
                  <w14:checked w14:val="0"/>
                  <w14:checkedState w14:val="2612" w14:font="MS Gothic"/>
                  <w14:uncheckedState w14:val="2610" w14:font="MS Gothic"/>
                </w14:checkbox>
              </w:sdtPr>
              <w:sdtEndPr/>
              <w:sdtContent>
                <w:r w:rsidR="00DF45E0">
                  <w:rPr>
                    <w:rFonts w:ascii="MS Gothic" w:eastAsia="MS Gothic" w:hAnsi="MS Gothic" w:hint="eastAsia"/>
                    <w:b/>
                  </w:rPr>
                  <w:t>☐</w:t>
                </w:r>
              </w:sdtContent>
            </w:sdt>
            <w:r w:rsidR="00DF45E0" w:rsidRPr="00883C63">
              <w:t xml:space="preserve"> </w:t>
            </w:r>
            <w:r w:rsidR="00DF45E0">
              <w:rPr>
                <w:rFonts w:ascii="Calibri" w:eastAsia="Calibri" w:hAnsi="Calibri" w:cs="Calibri"/>
                <w:b/>
              </w:rPr>
              <w:t>OPTION 3 – Requirements/processes for determining the Reviewing IRB are mandated by an external group with authority for the study(</w:t>
            </w:r>
            <w:proofErr w:type="spellStart"/>
            <w:r w:rsidR="00DF45E0">
              <w:rPr>
                <w:rFonts w:ascii="Calibri" w:eastAsia="Calibri" w:hAnsi="Calibri" w:cs="Calibri"/>
                <w:b/>
              </w:rPr>
              <w:t>ies</w:t>
            </w:r>
            <w:proofErr w:type="spellEnd"/>
            <w:r w:rsidR="00DF45E0">
              <w:rPr>
                <w:rFonts w:ascii="Calibri" w:eastAsia="Calibri" w:hAnsi="Calibri" w:cs="Calibri"/>
                <w:b/>
              </w:rPr>
              <w:t>)</w:t>
            </w:r>
          </w:p>
          <w:p w14:paraId="3A1325DB" w14:textId="77777777" w:rsidR="00F82F76" w:rsidRDefault="00DF45E0" w:rsidP="00F82F76">
            <w:pPr>
              <w:ind w:left="270"/>
              <w:rPr>
                <w:rFonts w:ascii="Calibri" w:eastAsia="Calibri" w:hAnsi="Calibri" w:cs="Calibri"/>
              </w:rPr>
            </w:pPr>
            <w:r>
              <w:rPr>
                <w:rFonts w:ascii="Calibri" w:eastAsia="Calibri" w:hAnsi="Calibri" w:cs="Calibri"/>
              </w:rPr>
              <w:t xml:space="preserve">The Participating Institutions are members of / participants in </w:t>
            </w:r>
          </w:p>
          <w:p w14:paraId="15D92479" w14:textId="77777777" w:rsidR="00F82F76" w:rsidRDefault="00F82F76" w:rsidP="00F82F76">
            <w:pPr>
              <w:ind w:left="270"/>
              <w:rPr>
                <w:rFonts w:ascii="Calibri" w:eastAsia="Calibri" w:hAnsi="Calibri" w:cs="Calibri"/>
              </w:rPr>
            </w:pPr>
          </w:p>
          <w:p w14:paraId="26900A01" w14:textId="0BA00B2B" w:rsidR="00DF45E0" w:rsidRDefault="00DF45E0" w:rsidP="00F82F76">
            <w:pPr>
              <w:ind w:left="270"/>
            </w:pPr>
            <w:r>
              <w:rPr>
                <w:rFonts w:ascii="Calibri" w:eastAsia="Calibri" w:hAnsi="Calibri" w:cs="Calibri"/>
              </w:rPr>
              <w:t xml:space="preserve"> and must follow its requirements and procedures for ceding IRB review and determining the Reviewing IRB with respect to the identified study(</w:t>
            </w:r>
            <w:proofErr w:type="spellStart"/>
            <w:r>
              <w:rPr>
                <w:rFonts w:ascii="Calibri" w:eastAsia="Calibri" w:hAnsi="Calibri" w:cs="Calibri"/>
              </w:rPr>
              <w:t>ies</w:t>
            </w:r>
            <w:proofErr w:type="spellEnd"/>
            <w:r>
              <w:rPr>
                <w:rFonts w:ascii="Calibri" w:eastAsia="Calibri" w:hAnsi="Calibri" w:cs="Calibri"/>
              </w:rPr>
              <w:t>).</w:t>
            </w:r>
          </w:p>
        </w:tc>
      </w:tr>
      <w:tr w:rsidR="00DF45E0" w14:paraId="139D7CDB" w14:textId="77777777" w:rsidTr="008640C8">
        <w:tc>
          <w:tcPr>
            <w:tcW w:w="3595" w:type="dxa"/>
          </w:tcPr>
          <w:p w14:paraId="12E6F70F" w14:textId="77777777" w:rsidR="00DF45E0" w:rsidRDefault="00D37D6A" w:rsidP="00EA7EB7">
            <w:pPr>
              <w:pStyle w:val="ListParagraph"/>
              <w:numPr>
                <w:ilvl w:val="0"/>
                <w:numId w:val="2"/>
              </w:numPr>
              <w:contextualSpacing w:val="0"/>
              <w:rPr>
                <w:b/>
              </w:rPr>
            </w:pPr>
            <w:r w:rsidRPr="00D37D6A">
              <w:rPr>
                <w:b/>
              </w:rPr>
              <w:t>Standard operating procedures (“SOPs”)</w:t>
            </w:r>
          </w:p>
          <w:p w14:paraId="097CC40D" w14:textId="212970D1" w:rsidR="00355DC9" w:rsidRPr="00D37D6A" w:rsidRDefault="00355DC9" w:rsidP="00D37D6A">
            <w:pPr>
              <w:pStyle w:val="ListParagraph"/>
              <w:ind w:left="360"/>
              <w:rPr>
                <w:b/>
              </w:rPr>
            </w:pPr>
          </w:p>
        </w:tc>
        <w:tc>
          <w:tcPr>
            <w:tcW w:w="7243" w:type="dxa"/>
          </w:tcPr>
          <w:p w14:paraId="427E6152" w14:textId="1381E213" w:rsidR="00355DC9" w:rsidRDefault="00830EF3" w:rsidP="00355DC9">
            <w:pPr>
              <w:spacing w:after="0"/>
              <w:rPr>
                <w:rFonts w:ascii="Calibri" w:eastAsia="Calibri" w:hAnsi="Calibri" w:cs="Calibri"/>
              </w:rPr>
            </w:pPr>
            <w:sdt>
              <w:sdtPr>
                <w:rPr>
                  <w:b/>
                </w:rPr>
                <w:id w:val="-928267855"/>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355DC9" w:rsidRPr="00883C63">
              <w:t xml:space="preserve"> </w:t>
            </w:r>
            <w:r w:rsidR="00355DC9" w:rsidRPr="00696251">
              <w:rPr>
                <w:rFonts w:ascii="Calibri" w:eastAsia="Calibri" w:hAnsi="Calibri" w:cs="Calibri"/>
                <w:b/>
              </w:rPr>
              <w:t>OPTION 1 – Using SMART IRB SOPs</w:t>
            </w:r>
          </w:p>
          <w:p w14:paraId="0FF0F66E" w14:textId="67E3B975" w:rsidR="00355DC9" w:rsidRDefault="00355DC9" w:rsidP="00EA7EB7">
            <w:pPr>
              <w:ind w:left="270"/>
            </w:pPr>
            <w:r>
              <w:rPr>
                <w:rFonts w:ascii="Calibri" w:eastAsia="Calibri" w:hAnsi="Calibri" w:cs="Calibri"/>
              </w:rPr>
              <w:t xml:space="preserve">The Participating Institutions will follow the </w:t>
            </w:r>
            <w:hyperlink r:id="rId8" w:history="1">
              <w:r w:rsidRPr="000C4BE4">
                <w:rPr>
                  <w:rStyle w:val="Hyperlink"/>
                  <w:rFonts w:ascii="Calibri" w:eastAsia="Calibri" w:hAnsi="Calibri" w:cs="Calibri"/>
                </w:rPr>
                <w:t>SMART IRB SOPs</w:t>
              </w:r>
            </w:hyperlink>
            <w:r>
              <w:t xml:space="preserve"> with respect to the identified study(</w:t>
            </w:r>
            <w:proofErr w:type="spellStart"/>
            <w:r>
              <w:t>ies</w:t>
            </w:r>
            <w:proofErr w:type="spellEnd"/>
            <w:r>
              <w:t>).</w:t>
            </w:r>
          </w:p>
          <w:p w14:paraId="6DA227B6" w14:textId="77777777" w:rsidR="00A02D65" w:rsidRDefault="00A02D65" w:rsidP="00EA7EB7">
            <w:pPr>
              <w:ind w:left="270"/>
            </w:pPr>
            <w:r>
              <w:t>UT Health San Antonio Exception regarding Research Personnel:</w:t>
            </w:r>
          </w:p>
          <w:p w14:paraId="00DA541A" w14:textId="3C7E8A46" w:rsidR="00A02D65" w:rsidRDefault="00A02D65" w:rsidP="00EA7EB7">
            <w:pPr>
              <w:ind w:left="270"/>
            </w:pPr>
            <w:r>
              <w:t xml:space="preserve">Training for Research personnel from ceding will be verified and confirmed upon initial review and throughout  the life of the study by the ceding institution unless  the individual conducts research at UT Health San Antonio or an affiliated study site; the research or a research procedure requires specialized skills and/or training by the IRB; the individual has a conflict of interest; the individual will be listed in the informed consent </w:t>
            </w:r>
            <w:r>
              <w:lastRenderedPageBreak/>
              <w:t xml:space="preserve">document; </w:t>
            </w:r>
            <w:r w:rsidR="00554B67">
              <w:t xml:space="preserve">site principal investigators; </w:t>
            </w:r>
            <w:r>
              <w:t>and/or will be listed as the overall principal investigator.  In these situations, UT Health San Antonio requires that the individual be named in the research application.</w:t>
            </w:r>
          </w:p>
          <w:p w14:paraId="2A2AA1E5" w14:textId="5B28D2ED" w:rsidR="00355DC9" w:rsidRDefault="00830EF3" w:rsidP="00EA7EB7">
            <w:pPr>
              <w:ind w:left="288" w:hanging="288"/>
              <w:rPr>
                <w:rFonts w:ascii="Calibri" w:eastAsia="Calibri" w:hAnsi="Calibri" w:cs="Calibri"/>
              </w:rPr>
            </w:pPr>
            <w:sdt>
              <w:sdtPr>
                <w:rPr>
                  <w:b/>
                </w:rPr>
                <w:id w:val="1514189336"/>
                <w14:checkbox>
                  <w14:checked w14:val="0"/>
                  <w14:checkedState w14:val="2612" w14:font="MS Gothic"/>
                  <w14:uncheckedState w14:val="2610" w14:font="MS Gothic"/>
                </w14:checkbox>
              </w:sdtPr>
              <w:sdtEndPr/>
              <w:sdtContent>
                <w:r w:rsidR="00BE1911">
                  <w:rPr>
                    <w:rFonts w:ascii="MS Gothic" w:eastAsia="MS Gothic" w:hAnsi="MS Gothic" w:hint="eastAsia"/>
                    <w:b/>
                  </w:rPr>
                  <w:t>☐</w:t>
                </w:r>
              </w:sdtContent>
            </w:sdt>
            <w:r w:rsidR="00355DC9" w:rsidRPr="00696251">
              <w:rPr>
                <w:rFonts w:ascii="Calibri" w:eastAsia="Calibri" w:hAnsi="Calibri" w:cs="Calibri"/>
              </w:rPr>
              <w:t xml:space="preserve"> </w:t>
            </w:r>
            <w:r w:rsidR="00355DC9">
              <w:rPr>
                <w:rFonts w:ascii="Calibri" w:eastAsia="Calibri" w:hAnsi="Calibri" w:cs="Calibri"/>
                <w:b/>
              </w:rPr>
              <w:t>OPTION 2 – Using other SOPs as mandated by an external group with authority for the study(</w:t>
            </w:r>
            <w:proofErr w:type="spellStart"/>
            <w:r w:rsidR="00355DC9">
              <w:rPr>
                <w:rFonts w:ascii="Calibri" w:eastAsia="Calibri" w:hAnsi="Calibri" w:cs="Calibri"/>
                <w:b/>
              </w:rPr>
              <w:t>ies</w:t>
            </w:r>
            <w:proofErr w:type="spellEnd"/>
            <w:r w:rsidR="00355DC9">
              <w:rPr>
                <w:rFonts w:ascii="Calibri" w:eastAsia="Calibri" w:hAnsi="Calibri" w:cs="Calibri"/>
                <w:b/>
              </w:rPr>
              <w:t>)</w:t>
            </w:r>
          </w:p>
          <w:p w14:paraId="64B7091A" w14:textId="77777777" w:rsidR="00F82F76" w:rsidRDefault="00355DC9" w:rsidP="00EA7EB7">
            <w:pPr>
              <w:ind w:left="270"/>
              <w:rPr>
                <w:rFonts w:ascii="Calibri" w:eastAsia="Calibri" w:hAnsi="Calibri" w:cs="Calibri"/>
              </w:rPr>
            </w:pPr>
            <w:r>
              <w:rPr>
                <w:rFonts w:ascii="Calibri" w:eastAsia="Calibri" w:hAnsi="Calibri" w:cs="Calibri"/>
              </w:rPr>
              <w:t xml:space="preserve">The Participating Institutions are members of / participants in </w:t>
            </w:r>
          </w:p>
          <w:p w14:paraId="4FC09F75" w14:textId="77777777" w:rsidR="00F82F76" w:rsidRDefault="00355DC9" w:rsidP="00EA7EB7">
            <w:pPr>
              <w:ind w:left="270"/>
              <w:rPr>
                <w:rFonts w:ascii="Calibri" w:eastAsia="Calibri" w:hAnsi="Calibri" w:cs="Calibri"/>
              </w:rPr>
            </w:pPr>
            <w:r>
              <w:rPr>
                <w:rFonts w:ascii="Calibri" w:eastAsia="Calibri" w:hAnsi="Calibri" w:cs="Calibri"/>
              </w:rPr>
              <w:t xml:space="preserve">and must follow the </w:t>
            </w:r>
          </w:p>
          <w:p w14:paraId="2B5035F7" w14:textId="2BB23B13" w:rsidR="00355DC9" w:rsidRDefault="00355DC9" w:rsidP="00EA7EB7">
            <w:pPr>
              <w:ind w:left="270"/>
            </w:pPr>
            <w:r>
              <w:rPr>
                <w:rFonts w:ascii="Calibri" w:eastAsia="Calibri" w:hAnsi="Calibri" w:cs="Calibri"/>
              </w:rPr>
              <w:t>Standard Operating Procedures with respect to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3F330625" w14:textId="77777777" w:rsidR="00355DC9" w:rsidRDefault="00830EF3" w:rsidP="00355DC9">
            <w:pPr>
              <w:spacing w:after="0"/>
              <w:rPr>
                <w:rFonts w:ascii="Calibri" w:eastAsia="Calibri" w:hAnsi="Calibri" w:cs="Calibri"/>
              </w:rPr>
            </w:pPr>
            <w:sdt>
              <w:sdtPr>
                <w:rPr>
                  <w:b/>
                </w:rPr>
                <w:id w:val="226490827"/>
                <w14:checkbox>
                  <w14:checked w14:val="0"/>
                  <w14:checkedState w14:val="2612" w14:font="MS Gothic"/>
                  <w14:uncheckedState w14:val="2610" w14:font="MS Gothic"/>
                </w14:checkbox>
              </w:sdtPr>
              <w:sdtEndPr/>
              <w:sdtContent>
                <w:r w:rsidR="00355DC9">
                  <w:rPr>
                    <w:rFonts w:ascii="MS Gothic" w:eastAsia="MS Gothic" w:hAnsi="MS Gothic" w:hint="eastAsia"/>
                    <w:b/>
                  </w:rPr>
                  <w:t>☐</w:t>
                </w:r>
              </w:sdtContent>
            </w:sdt>
            <w:r w:rsidR="00355DC9" w:rsidRPr="00696251">
              <w:rPr>
                <w:rFonts w:ascii="Calibri" w:eastAsia="Calibri" w:hAnsi="Calibri" w:cs="Calibri"/>
              </w:rPr>
              <w:t xml:space="preserve"> </w:t>
            </w:r>
            <w:r w:rsidR="00355DC9">
              <w:rPr>
                <w:rFonts w:ascii="Calibri" w:eastAsia="Calibri" w:hAnsi="Calibri" w:cs="Calibri"/>
                <w:b/>
              </w:rPr>
              <w:t>OPTION 3</w:t>
            </w:r>
            <w:r w:rsidR="00355DC9" w:rsidRPr="00696251">
              <w:rPr>
                <w:rFonts w:ascii="Calibri" w:eastAsia="Calibri" w:hAnsi="Calibri" w:cs="Calibri"/>
                <w:b/>
              </w:rPr>
              <w:t xml:space="preserve"> – Using other SOPs</w:t>
            </w:r>
            <w:r w:rsidR="00355DC9">
              <w:rPr>
                <w:rFonts w:ascii="Calibri" w:eastAsia="Calibri" w:hAnsi="Calibri" w:cs="Calibri"/>
                <w:b/>
              </w:rPr>
              <w:t xml:space="preserve"> </w:t>
            </w:r>
            <w:r w:rsidR="00355DC9" w:rsidRPr="009669E7">
              <w:rPr>
                <w:rFonts w:ascii="Calibri" w:eastAsia="Calibri" w:hAnsi="Calibri" w:cs="Calibri"/>
              </w:rPr>
              <w:t xml:space="preserve">(not </w:t>
            </w:r>
            <w:r w:rsidR="00355DC9">
              <w:rPr>
                <w:rFonts w:ascii="Calibri" w:eastAsia="Calibri" w:hAnsi="Calibri" w:cs="Calibri"/>
              </w:rPr>
              <w:t xml:space="preserve">otherwise </w:t>
            </w:r>
            <w:r w:rsidR="00355DC9" w:rsidRPr="009669E7">
              <w:rPr>
                <w:rFonts w:ascii="Calibri" w:eastAsia="Calibri" w:hAnsi="Calibri" w:cs="Calibri"/>
              </w:rPr>
              <w:t>mandated)</w:t>
            </w:r>
          </w:p>
          <w:p w14:paraId="2AB1CB43" w14:textId="77777777" w:rsidR="00F82F76" w:rsidRDefault="00355DC9" w:rsidP="00355DC9">
            <w:pPr>
              <w:spacing w:after="120"/>
              <w:ind w:left="274"/>
              <w:rPr>
                <w:rFonts w:ascii="Calibri" w:eastAsia="Calibri" w:hAnsi="Calibri" w:cs="Calibri"/>
                <w:highlight w:val="yellow"/>
              </w:rPr>
            </w:pPr>
            <w:r w:rsidRPr="00683F13">
              <w:rPr>
                <w:rFonts w:ascii="Calibri" w:eastAsia="Calibri" w:hAnsi="Calibri" w:cs="Calibri"/>
              </w:rPr>
              <w:t>The Participating Institutions</w:t>
            </w:r>
            <w:r>
              <w:rPr>
                <w:rFonts w:ascii="Calibri" w:eastAsia="Calibri" w:hAnsi="Calibri" w:cs="Calibri"/>
              </w:rPr>
              <w:t xml:space="preserve"> will follow the </w:t>
            </w:r>
          </w:p>
          <w:p w14:paraId="50A35C3C" w14:textId="77777777" w:rsidR="00F82F76" w:rsidRDefault="00F82F76" w:rsidP="00355DC9">
            <w:pPr>
              <w:spacing w:after="120"/>
              <w:ind w:left="274"/>
            </w:pPr>
          </w:p>
          <w:p w14:paraId="237F82E0" w14:textId="13020C6D" w:rsidR="00355DC9" w:rsidRDefault="00355DC9" w:rsidP="00355DC9">
            <w:pPr>
              <w:spacing w:after="120"/>
              <w:ind w:left="274"/>
            </w:pPr>
            <w:r>
              <w:t>SOPs with respect to the identified study(</w:t>
            </w:r>
            <w:proofErr w:type="spellStart"/>
            <w:r>
              <w:t>ies</w:t>
            </w:r>
            <w:proofErr w:type="spellEnd"/>
            <w:r>
              <w:t xml:space="preserve">). These SOPs </w:t>
            </w:r>
          </w:p>
          <w:p w14:paraId="0BD80128" w14:textId="77777777" w:rsidR="00F82F76" w:rsidRDefault="00830EF3" w:rsidP="00F82F76">
            <w:pPr>
              <w:spacing w:after="120"/>
              <w:ind w:left="720"/>
            </w:pPr>
            <w:sdt>
              <w:sdtPr>
                <w:rPr>
                  <w:b/>
                </w:rPr>
                <w:id w:val="-1936969773"/>
                <w14:checkbox>
                  <w14:checked w14:val="0"/>
                  <w14:checkedState w14:val="2612" w14:font="MS Gothic"/>
                  <w14:uncheckedState w14:val="2610" w14:font="MS Gothic"/>
                </w14:checkbox>
              </w:sdtPr>
              <w:sdtEndPr/>
              <w:sdtContent>
                <w:r w:rsidR="00355DC9">
                  <w:rPr>
                    <w:rFonts w:ascii="MS Gothic" w:eastAsia="MS Gothic" w:hAnsi="MS Gothic" w:hint="eastAsia"/>
                    <w:b/>
                  </w:rPr>
                  <w:t>☐</w:t>
                </w:r>
              </w:sdtContent>
            </w:sdt>
            <w:r w:rsidR="00355DC9" w:rsidRPr="00696251">
              <w:rPr>
                <w:rFonts w:ascii="Calibri" w:eastAsia="Calibri" w:hAnsi="Calibri" w:cs="Calibri"/>
              </w:rPr>
              <w:t xml:space="preserve"> </w:t>
            </w:r>
            <w:r w:rsidR="00355DC9">
              <w:t xml:space="preserve">are available at </w:t>
            </w:r>
          </w:p>
          <w:p w14:paraId="3BAAD09F" w14:textId="77777777" w:rsidR="00F82F76" w:rsidRDefault="00F82F76" w:rsidP="00F82F76">
            <w:pPr>
              <w:spacing w:after="120"/>
              <w:ind w:left="720"/>
              <w:rPr>
                <w:b/>
              </w:rPr>
            </w:pPr>
          </w:p>
          <w:p w14:paraId="080DE34C" w14:textId="77777777" w:rsidR="00F82F76" w:rsidRDefault="00830EF3" w:rsidP="00F82F76">
            <w:pPr>
              <w:spacing w:after="120"/>
              <w:ind w:left="720"/>
              <w:rPr>
                <w:rFonts w:ascii="Calibri" w:eastAsia="Calibri" w:hAnsi="Calibri" w:cs="Calibri"/>
              </w:rPr>
            </w:pPr>
            <w:sdt>
              <w:sdtPr>
                <w:rPr>
                  <w:b/>
                </w:rPr>
                <w:id w:val="-359207719"/>
                <w14:checkbox>
                  <w14:checked w14:val="0"/>
                  <w14:checkedState w14:val="2612" w14:font="MS Gothic"/>
                  <w14:uncheckedState w14:val="2610" w14:font="MS Gothic"/>
                </w14:checkbox>
              </w:sdtPr>
              <w:sdtEndPr/>
              <w:sdtContent>
                <w:r w:rsidR="00355DC9">
                  <w:rPr>
                    <w:rFonts w:ascii="MS Gothic" w:eastAsia="MS Gothic" w:hAnsi="MS Gothic" w:hint="eastAsia"/>
                    <w:b/>
                  </w:rPr>
                  <w:t>☐</w:t>
                </w:r>
              </w:sdtContent>
            </w:sdt>
            <w:r w:rsidR="00355DC9" w:rsidRPr="00696251">
              <w:rPr>
                <w:rFonts w:ascii="Calibri" w:eastAsia="Calibri" w:hAnsi="Calibri" w:cs="Calibri"/>
              </w:rPr>
              <w:t xml:space="preserve"> </w:t>
            </w:r>
            <w:r w:rsidR="00355DC9">
              <w:t xml:space="preserve">will be distributed by </w:t>
            </w:r>
          </w:p>
          <w:p w14:paraId="1279CC44" w14:textId="7976141B" w:rsidR="00DF45E0" w:rsidRDefault="00DF45E0" w:rsidP="00F82F76">
            <w:pPr>
              <w:spacing w:after="120"/>
              <w:ind w:left="720"/>
            </w:pPr>
          </w:p>
        </w:tc>
      </w:tr>
      <w:tr w:rsidR="00275C19" w14:paraId="58861034" w14:textId="77777777" w:rsidTr="008640C8">
        <w:tc>
          <w:tcPr>
            <w:tcW w:w="3595" w:type="dxa"/>
          </w:tcPr>
          <w:p w14:paraId="09CBFB4E" w14:textId="52D91AF9" w:rsidR="00275C19" w:rsidRPr="00A13E73" w:rsidRDefault="00275C19" w:rsidP="00EA7EB7">
            <w:pPr>
              <w:pStyle w:val="ListParagraph"/>
              <w:numPr>
                <w:ilvl w:val="0"/>
                <w:numId w:val="2"/>
              </w:numPr>
              <w:rPr>
                <w:b/>
              </w:rPr>
            </w:pPr>
            <w:r w:rsidRPr="00A13E73">
              <w:rPr>
                <w:b/>
              </w:rPr>
              <w:lastRenderedPageBreak/>
              <w:t>HIPAA determinations and actions</w:t>
            </w:r>
          </w:p>
          <w:p w14:paraId="635ECF02" w14:textId="5BAB477A" w:rsidR="00275C19" w:rsidRPr="00275C19" w:rsidRDefault="00275C19" w:rsidP="00EA7EB7">
            <w:pPr>
              <w:ind w:left="360"/>
              <w:rPr>
                <w:b/>
              </w:rPr>
            </w:pPr>
          </w:p>
        </w:tc>
        <w:tc>
          <w:tcPr>
            <w:tcW w:w="7243" w:type="dxa"/>
          </w:tcPr>
          <w:p w14:paraId="13A85B21" w14:textId="3423CADC" w:rsidR="00275C19" w:rsidRDefault="00830EF3" w:rsidP="001B7A23">
            <w:pPr>
              <w:ind w:left="270" w:hanging="270"/>
              <w:rPr>
                <w:rFonts w:ascii="Calibri" w:eastAsia="Calibri" w:hAnsi="Calibri" w:cs="Calibri"/>
                <w:b/>
              </w:rPr>
            </w:pPr>
            <w:sdt>
              <w:sdtPr>
                <w:rPr>
                  <w:rFonts w:ascii="MS Gothic" w:eastAsia="MS Gothic" w:hAnsi="MS Gothic"/>
                  <w:b/>
                </w:rPr>
                <w:id w:val="-675886199"/>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 xml:space="preserve">Not applicable </w:t>
            </w:r>
            <w:r w:rsidR="00275C19" w:rsidRPr="00CE5DE1">
              <w:rPr>
                <w:rFonts w:ascii="Calibri" w:eastAsia="Calibri" w:hAnsi="Calibri" w:cs="Calibri"/>
              </w:rPr>
              <w:t xml:space="preserve">– </w:t>
            </w:r>
            <w:r w:rsidR="00275C19">
              <w:rPr>
                <w:rFonts w:ascii="Calibri" w:eastAsia="Calibri" w:hAnsi="Calibri" w:cs="Calibri"/>
                <w:b/>
              </w:rPr>
              <w:t>Ceded study(</w:t>
            </w:r>
            <w:proofErr w:type="spellStart"/>
            <w:r w:rsidR="00275C19">
              <w:rPr>
                <w:rFonts w:ascii="Calibri" w:eastAsia="Calibri" w:hAnsi="Calibri" w:cs="Calibri"/>
                <w:b/>
              </w:rPr>
              <w:t>ies</w:t>
            </w:r>
            <w:proofErr w:type="spellEnd"/>
            <w:r w:rsidR="00275C19">
              <w:rPr>
                <w:rFonts w:ascii="Calibri" w:eastAsia="Calibri" w:hAnsi="Calibri" w:cs="Calibri"/>
                <w:b/>
              </w:rPr>
              <w:t>) does not fall under HIPAA Privacy Rule regulations</w:t>
            </w:r>
          </w:p>
          <w:p w14:paraId="2CE5BC1B" w14:textId="77777777" w:rsidR="00275C19" w:rsidRDefault="00830EF3" w:rsidP="00EA7EB7">
            <w:pPr>
              <w:pStyle w:val="ListParagraph"/>
              <w:ind w:left="0"/>
              <w:rPr>
                <w:rFonts w:ascii="Calibri" w:eastAsia="Calibri" w:hAnsi="Calibri" w:cs="Calibri"/>
              </w:rPr>
            </w:pPr>
            <w:sdt>
              <w:sdtPr>
                <w:rPr>
                  <w:b/>
                </w:rPr>
                <w:id w:val="1027059150"/>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 xml:space="preserve">OPTION </w:t>
            </w:r>
            <w:r w:rsidR="00275C19" w:rsidRPr="00BC1F4B">
              <w:rPr>
                <w:rFonts w:ascii="Calibri" w:eastAsia="Calibri" w:hAnsi="Calibri" w:cs="Calibri"/>
                <w:b/>
              </w:rPr>
              <w:t>1</w:t>
            </w:r>
            <w:r w:rsidR="00275C19" w:rsidRPr="00BC1F4B">
              <w:rPr>
                <w:rFonts w:ascii="Calibri" w:eastAsia="Calibri" w:hAnsi="Calibri" w:cs="Calibri"/>
              </w:rPr>
              <w:t xml:space="preserve"> – </w:t>
            </w:r>
            <w:r w:rsidR="00275C19">
              <w:rPr>
                <w:rFonts w:ascii="Calibri" w:eastAsia="Calibri" w:hAnsi="Calibri" w:cs="Calibri"/>
                <w:b/>
              </w:rPr>
              <w:t>Relying Institution(s) are NOT HIPAA Covered Entities</w:t>
            </w:r>
          </w:p>
          <w:p w14:paraId="046E15DA" w14:textId="77777777" w:rsidR="00275C19" w:rsidRDefault="00275C19" w:rsidP="00EA7EB7">
            <w:pPr>
              <w:pStyle w:val="ListParagraph"/>
              <w:ind w:left="270"/>
              <w:rPr>
                <w:rFonts w:ascii="Calibri" w:eastAsia="Calibri" w:hAnsi="Calibri" w:cs="Calibri"/>
              </w:rPr>
            </w:pPr>
            <w:r>
              <w:rPr>
                <w:rFonts w:ascii="Calibri" w:eastAsia="Calibri" w:hAnsi="Calibri" w:cs="Calibri"/>
              </w:rPr>
              <w:t>No HIPAA determinations or actions are required for the Relying Institution(s) to use/disclose PHI for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23CFA0C7" w14:textId="13B0AE25" w:rsidR="00275C19" w:rsidRPr="003F7DEA" w:rsidRDefault="00830EF3" w:rsidP="00EA7EB7">
            <w:pPr>
              <w:ind w:left="288" w:hanging="288"/>
              <w:rPr>
                <w:rFonts w:ascii="Calibri" w:eastAsia="Calibri" w:hAnsi="Calibri" w:cs="Calibri"/>
              </w:rPr>
            </w:pPr>
            <w:sdt>
              <w:sdtPr>
                <w:rPr>
                  <w:b/>
                </w:rPr>
                <w:id w:val="572399115"/>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275C19" w:rsidRPr="00883C63">
              <w:t xml:space="preserve"> </w:t>
            </w:r>
            <w:r w:rsidR="00275C19">
              <w:rPr>
                <w:rFonts w:ascii="Calibri" w:eastAsia="Calibri" w:hAnsi="Calibri" w:cs="Calibri"/>
                <w:b/>
              </w:rPr>
              <w:t>OPTION 2</w:t>
            </w:r>
            <w:r w:rsidR="00275C19" w:rsidRPr="00BC1F4B">
              <w:rPr>
                <w:rFonts w:ascii="Calibri" w:eastAsia="Calibri" w:hAnsi="Calibri" w:cs="Calibri"/>
              </w:rPr>
              <w:t xml:space="preserve"> – </w:t>
            </w:r>
            <w:r w:rsidR="00275C19" w:rsidRPr="003F7DEA">
              <w:rPr>
                <w:rFonts w:ascii="Calibri" w:eastAsia="Calibri" w:hAnsi="Calibri" w:cs="Calibri"/>
                <w:b/>
              </w:rPr>
              <w:t>One or more Relying Institution(s) are HIPAA Covered Entities</w:t>
            </w:r>
            <w:r w:rsidR="00275C19">
              <w:rPr>
                <w:rFonts w:ascii="Calibri" w:eastAsia="Calibri" w:hAnsi="Calibri" w:cs="Calibri"/>
                <w:b/>
              </w:rPr>
              <w:t xml:space="preserve"> and Reviewing IRB will make certain HIPAA determinations and perform certain HIPAA actions required for Relying Institution(s) to use/disclose PHI (select appropriate option(s) below)</w:t>
            </w:r>
          </w:p>
          <w:p w14:paraId="6F57A89D" w14:textId="77777777" w:rsidR="00275C19" w:rsidRDefault="00275C19" w:rsidP="00EA7EB7">
            <w:pPr>
              <w:ind w:left="288" w:hanging="18"/>
              <w:rPr>
                <w:rFonts w:ascii="Calibri" w:eastAsia="Calibri" w:hAnsi="Calibri" w:cs="Calibri"/>
              </w:rPr>
            </w:pPr>
            <w:r>
              <w:rPr>
                <w:rFonts w:ascii="Calibri" w:eastAsia="Calibri" w:hAnsi="Calibri" w:cs="Calibri"/>
              </w:rPr>
              <w:t>The Reviewing IRB will make determinations as to what pathway under the HIPAA Privacy Rule (authorization / alteration or waiver of authorization / Limited Data Set) is applicable and required for the Relying Institution(s) to use/disclose PHI for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10EC8354" w14:textId="77777777" w:rsidR="00275C19" w:rsidRDefault="00275C19" w:rsidP="00EA7EB7">
            <w:pPr>
              <w:pStyle w:val="ListParagraph"/>
              <w:numPr>
                <w:ilvl w:val="0"/>
                <w:numId w:val="3"/>
              </w:numPr>
              <w:rPr>
                <w:rFonts w:ascii="Calibri" w:eastAsia="Calibri" w:hAnsi="Calibri" w:cs="Calibri"/>
              </w:rPr>
            </w:pPr>
            <w:r>
              <w:rPr>
                <w:rFonts w:ascii="Calibri" w:eastAsia="Calibri" w:hAnsi="Calibri" w:cs="Calibri"/>
              </w:rPr>
              <w:lastRenderedPageBreak/>
              <w:t>If an authorization is required, the Reviewing IRB will determine the form of the authorization (e.g., incorporated into a consent form vs. freestanding) in collaboration with the Relying Institution(s).</w:t>
            </w:r>
          </w:p>
          <w:p w14:paraId="5C76DD65" w14:textId="77777777" w:rsidR="00275C19" w:rsidRDefault="00275C19" w:rsidP="00EA7EB7">
            <w:pPr>
              <w:pStyle w:val="ListParagraph"/>
              <w:numPr>
                <w:ilvl w:val="0"/>
                <w:numId w:val="3"/>
              </w:numPr>
              <w:rPr>
                <w:rFonts w:ascii="Calibri" w:eastAsia="Calibri" w:hAnsi="Calibri" w:cs="Calibri"/>
              </w:rPr>
            </w:pPr>
            <w:r w:rsidRPr="004E5AC1">
              <w:rPr>
                <w:rFonts w:ascii="Calibri" w:eastAsia="Calibri" w:hAnsi="Calibri" w:cs="Calibri"/>
              </w:rPr>
              <w:t>If alteration or waiver of authorization is requested the Reviewing IRB will perform the alteration/waiver analysis and be responsible for granting waivers or alterations of authorization</w:t>
            </w:r>
          </w:p>
          <w:p w14:paraId="57184827" w14:textId="77777777" w:rsidR="00275C19" w:rsidRPr="004E5AC1" w:rsidRDefault="00275C19" w:rsidP="00EA7EB7">
            <w:pPr>
              <w:pStyle w:val="ListParagraph"/>
              <w:numPr>
                <w:ilvl w:val="0"/>
                <w:numId w:val="3"/>
              </w:numPr>
              <w:rPr>
                <w:rFonts w:ascii="Calibri" w:eastAsia="Calibri" w:hAnsi="Calibri" w:cs="Calibri"/>
              </w:rPr>
            </w:pPr>
            <w:r w:rsidRPr="004E5AC1">
              <w:rPr>
                <w:rFonts w:ascii="Calibri" w:eastAsia="Calibri" w:hAnsi="Calibri" w:cs="Calibri"/>
              </w:rPr>
              <w:t xml:space="preserve">If the Limited Data Set pathway is applicable, the Reviewing IRB will confirm that the PHI constitute a Limited Data Set and that a Data Use Agreement is or will be put into place. </w:t>
            </w:r>
          </w:p>
          <w:p w14:paraId="3F5106D4" w14:textId="77777777" w:rsidR="00275C19" w:rsidRPr="003F7DEA" w:rsidRDefault="00275C19" w:rsidP="00EA7EB7">
            <w:pPr>
              <w:ind w:left="720"/>
              <w:rPr>
                <w:rFonts w:ascii="Calibri" w:eastAsia="Calibri" w:hAnsi="Calibri" w:cs="Calibri"/>
              </w:rPr>
            </w:pPr>
            <w:r w:rsidRPr="003F7DEA">
              <w:rPr>
                <w:rFonts w:ascii="Calibri" w:eastAsia="Calibri" w:hAnsi="Calibri" w:cs="Calibri"/>
              </w:rPr>
              <w:t>Note:</w:t>
            </w:r>
            <w:r>
              <w:rPr>
                <w:rFonts w:ascii="Calibri" w:eastAsia="Calibri" w:hAnsi="Calibri" w:cs="Calibri"/>
              </w:rPr>
              <w:t xml:space="preserve"> </w:t>
            </w:r>
            <w:r w:rsidRPr="003F7DEA">
              <w:rPr>
                <w:rFonts w:ascii="Calibri" w:eastAsia="Calibri" w:hAnsi="Calibri" w:cs="Calibri"/>
              </w:rPr>
              <w:t>Apart from the determinations and actions referenced above, the Relying Institution(s) are responsible for performance of all of their other applicable HIPAA obligations in connection with the study(</w:t>
            </w:r>
            <w:proofErr w:type="spellStart"/>
            <w:r w:rsidRPr="003F7DEA">
              <w:rPr>
                <w:rFonts w:ascii="Calibri" w:eastAsia="Calibri" w:hAnsi="Calibri" w:cs="Calibri"/>
              </w:rPr>
              <w:t>ies</w:t>
            </w:r>
            <w:proofErr w:type="spellEnd"/>
            <w:r w:rsidRPr="003F7DEA">
              <w:rPr>
                <w:rFonts w:ascii="Calibri" w:eastAsia="Calibri" w:hAnsi="Calibri" w:cs="Calibri"/>
              </w:rPr>
              <w:t>) (e.g., accounting of disclosures of PHI they make under a waiver of authorization).</w:t>
            </w:r>
          </w:p>
          <w:p w14:paraId="1C1C3CA5" w14:textId="77777777" w:rsidR="00275C19" w:rsidRDefault="00830EF3" w:rsidP="00EA7EB7">
            <w:pPr>
              <w:ind w:left="288" w:hanging="288"/>
              <w:rPr>
                <w:rFonts w:ascii="Calibri" w:eastAsia="Calibri" w:hAnsi="Calibri" w:cs="Calibri"/>
              </w:rPr>
            </w:pPr>
            <w:sdt>
              <w:sdtPr>
                <w:rPr>
                  <w:b/>
                </w:rPr>
                <w:id w:val="-1701614991"/>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OPTION 3</w:t>
            </w:r>
            <w:r w:rsidR="00275C19" w:rsidRPr="00BC1F4B">
              <w:rPr>
                <w:rFonts w:ascii="Calibri" w:eastAsia="Calibri" w:hAnsi="Calibri" w:cs="Calibri"/>
              </w:rPr>
              <w:t xml:space="preserve"> – </w:t>
            </w:r>
            <w:r w:rsidR="00275C19" w:rsidRPr="009669E7">
              <w:rPr>
                <w:rFonts w:ascii="Calibri" w:eastAsia="Calibri" w:hAnsi="Calibri" w:cs="Calibri"/>
                <w:b/>
              </w:rPr>
              <w:t>One or more Relying Institution(s) are HIPAA Covered Entities</w:t>
            </w:r>
            <w:r w:rsidR="00275C19">
              <w:rPr>
                <w:rFonts w:ascii="Calibri" w:eastAsia="Calibri" w:hAnsi="Calibri" w:cs="Calibri"/>
                <w:b/>
              </w:rPr>
              <w:t xml:space="preserve"> and Relying Institution(s) will make any HIPAA determinations or perform any HIPAA actions</w:t>
            </w:r>
          </w:p>
          <w:p w14:paraId="024F59A4" w14:textId="77777777" w:rsidR="00275C19" w:rsidRDefault="00275C19" w:rsidP="00EA7EB7">
            <w:pPr>
              <w:ind w:left="270"/>
            </w:pPr>
            <w:r>
              <w:rPr>
                <w:rFonts w:ascii="Calibri" w:eastAsia="Calibri" w:hAnsi="Calibri" w:cs="Calibri"/>
              </w:rPr>
              <w:t xml:space="preserve">As a matter of policy or otherwise, the Reviewing IRB </w:t>
            </w:r>
            <w:r>
              <w:t>does not make HIPAA determinations or perform any HIPAA actions. The Relying Institution(s) will make determinations for themselves as to what pathway under the HIPAA Privacy Rule (authorization / alteration or waiver of authorization / Limited Data Set) is applicable and required for them to use/disclose PHI for the identified study(</w:t>
            </w:r>
            <w:proofErr w:type="spellStart"/>
            <w:r>
              <w:t>ies</w:t>
            </w:r>
            <w:proofErr w:type="spellEnd"/>
            <w:r>
              <w:t xml:space="preserve">). </w:t>
            </w:r>
          </w:p>
          <w:p w14:paraId="47385E4A" w14:textId="4B877DDF" w:rsidR="00275C19" w:rsidRDefault="00275C19" w:rsidP="0048143B">
            <w:pPr>
              <w:ind w:left="273"/>
              <w:rPr>
                <w:b/>
              </w:rPr>
            </w:pPr>
            <w:r w:rsidRPr="003F7DEA">
              <w:t>Note:</w:t>
            </w:r>
            <w:r>
              <w:t xml:space="preserve"> </w:t>
            </w:r>
            <w:r w:rsidRPr="003F7DEA">
              <w:t>If a Relying Institution determines that authorization is required, it must use a freestanding authorization form that is separate from (not merged into) the study consent provided by the Reviewing IRB.</w:t>
            </w:r>
          </w:p>
        </w:tc>
      </w:tr>
      <w:tr w:rsidR="00275C19" w14:paraId="725A5F22" w14:textId="77777777" w:rsidTr="008640C8">
        <w:tc>
          <w:tcPr>
            <w:tcW w:w="3595" w:type="dxa"/>
          </w:tcPr>
          <w:p w14:paraId="20572749" w14:textId="77777777" w:rsidR="00275C19" w:rsidRPr="00A13E73" w:rsidRDefault="00275C19" w:rsidP="00EA7EB7">
            <w:pPr>
              <w:pStyle w:val="ListParagraph"/>
              <w:numPr>
                <w:ilvl w:val="0"/>
                <w:numId w:val="2"/>
              </w:numPr>
              <w:rPr>
                <w:b/>
              </w:rPr>
            </w:pPr>
            <w:r w:rsidRPr="00A13E73">
              <w:rPr>
                <w:b/>
              </w:rPr>
              <w:lastRenderedPageBreak/>
              <w:t>HIPAA authorization language and consent forms</w:t>
            </w:r>
          </w:p>
          <w:p w14:paraId="0DAA9C5B" w14:textId="602400CC" w:rsidR="00275C19" w:rsidRPr="00275C19" w:rsidRDefault="00275C19" w:rsidP="00EA7EB7">
            <w:pPr>
              <w:ind w:left="360"/>
              <w:rPr>
                <w:b/>
              </w:rPr>
            </w:pPr>
          </w:p>
        </w:tc>
        <w:tc>
          <w:tcPr>
            <w:tcW w:w="7243" w:type="dxa"/>
          </w:tcPr>
          <w:p w14:paraId="48E5ED3D" w14:textId="77777777" w:rsidR="00275C19" w:rsidRPr="00CE5DE1" w:rsidRDefault="00830EF3" w:rsidP="001B7A23">
            <w:pPr>
              <w:ind w:left="270" w:hanging="270"/>
              <w:rPr>
                <w:rFonts w:ascii="Calibri" w:eastAsia="Calibri" w:hAnsi="Calibri" w:cs="Calibri"/>
              </w:rPr>
            </w:pPr>
            <w:sdt>
              <w:sdtPr>
                <w:rPr>
                  <w:rFonts w:ascii="MS Gothic" w:eastAsia="MS Gothic" w:hAnsi="MS Gothic"/>
                  <w:b/>
                </w:rPr>
                <w:id w:val="-1253581833"/>
                <w14:checkbox>
                  <w14:checked w14:val="0"/>
                  <w14:checkedState w14:val="2612" w14:font="MS Gothic"/>
                  <w14:uncheckedState w14:val="2610" w14:font="MS Gothic"/>
                </w14:checkbox>
              </w:sdtPr>
              <w:sdtEndPr/>
              <w:sdtContent>
                <w:r w:rsidR="00275C19" w:rsidRPr="00CE5DE1">
                  <w:rPr>
                    <w:rFonts w:ascii="MS Gothic" w:eastAsia="MS Gothic" w:hAnsi="MS Gothic"/>
                    <w:b/>
                  </w:rPr>
                  <w:t>☐</w:t>
                </w:r>
              </w:sdtContent>
            </w:sdt>
            <w:r w:rsidR="00275C19" w:rsidRPr="00883C63">
              <w:t xml:space="preserve"> </w:t>
            </w:r>
            <w:r w:rsidR="00275C19" w:rsidRPr="00CE5DE1">
              <w:rPr>
                <w:rFonts w:ascii="Calibri" w:eastAsia="Calibri" w:hAnsi="Calibri" w:cs="Calibri"/>
                <w:b/>
              </w:rPr>
              <w:t xml:space="preserve">Not applicable </w:t>
            </w:r>
            <w:r w:rsidR="00275C19" w:rsidRPr="00CE5DE1">
              <w:rPr>
                <w:rFonts w:ascii="Calibri" w:eastAsia="Calibri" w:hAnsi="Calibri" w:cs="Calibri"/>
              </w:rPr>
              <w:t xml:space="preserve">– </w:t>
            </w:r>
            <w:r w:rsidR="00275C19" w:rsidRPr="00CE5DE1">
              <w:rPr>
                <w:rFonts w:ascii="Calibri" w:eastAsia="Calibri" w:hAnsi="Calibri" w:cs="Calibri"/>
                <w:b/>
              </w:rPr>
              <w:t>Ceded stud</w:t>
            </w:r>
            <w:r w:rsidR="00275C19">
              <w:rPr>
                <w:rFonts w:ascii="Calibri" w:eastAsia="Calibri" w:hAnsi="Calibri" w:cs="Calibri"/>
                <w:b/>
              </w:rPr>
              <w:t>y(</w:t>
            </w:r>
            <w:proofErr w:type="spellStart"/>
            <w:r w:rsidR="00275C19" w:rsidRPr="00CE5DE1">
              <w:rPr>
                <w:rFonts w:ascii="Calibri" w:eastAsia="Calibri" w:hAnsi="Calibri" w:cs="Calibri"/>
                <w:b/>
              </w:rPr>
              <w:t>ies</w:t>
            </w:r>
            <w:proofErr w:type="spellEnd"/>
            <w:r w:rsidR="00275C19">
              <w:rPr>
                <w:rFonts w:ascii="Calibri" w:eastAsia="Calibri" w:hAnsi="Calibri" w:cs="Calibri"/>
                <w:b/>
              </w:rPr>
              <w:t>)</w:t>
            </w:r>
            <w:r w:rsidR="00275C19" w:rsidRPr="00CE5DE1">
              <w:rPr>
                <w:rFonts w:ascii="Calibri" w:eastAsia="Calibri" w:hAnsi="Calibri" w:cs="Calibri"/>
                <w:b/>
              </w:rPr>
              <w:t xml:space="preserve"> do</w:t>
            </w:r>
            <w:r w:rsidR="00275C19">
              <w:rPr>
                <w:rFonts w:ascii="Calibri" w:eastAsia="Calibri" w:hAnsi="Calibri" w:cs="Calibri"/>
                <w:b/>
              </w:rPr>
              <w:t>es</w:t>
            </w:r>
            <w:r w:rsidR="00275C19" w:rsidRPr="00CE5DE1">
              <w:rPr>
                <w:rFonts w:ascii="Calibri" w:eastAsia="Calibri" w:hAnsi="Calibri" w:cs="Calibri"/>
                <w:b/>
              </w:rPr>
              <w:t xml:space="preserve"> not fall under HIPAA Privacy Rule regulations</w:t>
            </w:r>
          </w:p>
          <w:p w14:paraId="0796F1A6" w14:textId="5CC8FD56" w:rsidR="00275C19" w:rsidRDefault="00830EF3" w:rsidP="00EA7EB7">
            <w:pPr>
              <w:autoSpaceDE w:val="0"/>
              <w:autoSpaceDN w:val="0"/>
              <w:adjustRightInd w:val="0"/>
              <w:spacing w:line="240" w:lineRule="auto"/>
              <w:ind w:left="270" w:hanging="270"/>
              <w:rPr>
                <w:rFonts w:ascii="Calibri" w:eastAsia="Calibri" w:hAnsi="Calibri" w:cs="Calibri"/>
              </w:rPr>
            </w:pPr>
            <w:sdt>
              <w:sdtPr>
                <w:rPr>
                  <w:b/>
                </w:rPr>
                <w:id w:val="267892646"/>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275C19" w:rsidRPr="00883C63">
              <w:t xml:space="preserve"> </w:t>
            </w:r>
            <w:r w:rsidR="00275C19">
              <w:rPr>
                <w:rFonts w:ascii="Calibri" w:eastAsia="Calibri" w:hAnsi="Calibri" w:cs="Calibri"/>
                <w:b/>
              </w:rPr>
              <w:t xml:space="preserve">OPTION </w:t>
            </w:r>
            <w:r w:rsidR="00275C19" w:rsidRPr="00BC1F4B">
              <w:rPr>
                <w:rFonts w:ascii="Calibri" w:eastAsia="Calibri" w:hAnsi="Calibri" w:cs="Calibri"/>
                <w:b/>
              </w:rPr>
              <w:t>1</w:t>
            </w:r>
            <w:r w:rsidR="00275C19" w:rsidRPr="00BC1F4B">
              <w:rPr>
                <w:rFonts w:ascii="Calibri" w:eastAsia="Calibri" w:hAnsi="Calibri" w:cs="Calibri"/>
              </w:rPr>
              <w:t xml:space="preserve"> – </w:t>
            </w:r>
            <w:r w:rsidR="00275C19">
              <w:rPr>
                <w:rFonts w:ascii="Calibri" w:eastAsia="Calibri" w:hAnsi="Calibri" w:cs="Calibri"/>
                <w:b/>
              </w:rPr>
              <w:t xml:space="preserve">Reviewing IRB requires </w:t>
            </w:r>
            <w:r w:rsidR="00275C19" w:rsidRPr="00CE5DE1">
              <w:rPr>
                <w:rFonts w:ascii="Calibri" w:hAnsi="Calibri" w:cs="Calibri"/>
                <w:b/>
              </w:rPr>
              <w:t>HIPAA authorization language to be incorporated into the informed consent documents</w:t>
            </w:r>
            <w:r w:rsidR="00275C19">
              <w:rPr>
                <w:rFonts w:ascii="Calibri" w:hAnsi="Calibri" w:cs="Calibri"/>
              </w:rPr>
              <w:t xml:space="preserve">, unless the Relying Institution obtains agreement from the Reviewing IRB to use a separate authorization form (e.g., separate form is required by State law or institutional policy). If the Relying Institution requires a separate authorization form, the Relying Institution shall be responsible for ensuring the separate form complies with applicable requirements in the HIPAA </w:t>
            </w:r>
            <w:r w:rsidR="00275C19">
              <w:rPr>
                <w:rFonts w:ascii="Calibri" w:hAnsi="Calibri" w:cs="Calibri"/>
              </w:rPr>
              <w:lastRenderedPageBreak/>
              <w:t>Privacy Rule).</w:t>
            </w:r>
          </w:p>
          <w:p w14:paraId="653D0E4C" w14:textId="3D6A28FB" w:rsidR="00275C19" w:rsidRDefault="00830EF3" w:rsidP="001B7A23">
            <w:pPr>
              <w:ind w:left="270" w:hanging="270"/>
              <w:rPr>
                <w:rFonts w:ascii="MS Gothic" w:eastAsia="MS Gothic" w:hAnsi="MS Gothic"/>
                <w:b/>
              </w:rPr>
            </w:pPr>
            <w:sdt>
              <w:sdtPr>
                <w:rPr>
                  <w:b/>
                </w:rPr>
                <w:id w:val="-1321040821"/>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OPTION 2</w:t>
            </w:r>
            <w:r w:rsidR="00275C19" w:rsidRPr="00BC1F4B">
              <w:rPr>
                <w:rFonts w:ascii="Calibri" w:eastAsia="Calibri" w:hAnsi="Calibri" w:cs="Calibri"/>
              </w:rPr>
              <w:t xml:space="preserve"> – </w:t>
            </w:r>
            <w:r w:rsidR="00275C19">
              <w:rPr>
                <w:rFonts w:ascii="Calibri" w:eastAsia="Calibri" w:hAnsi="Calibri" w:cs="Calibri"/>
                <w:b/>
              </w:rPr>
              <w:t xml:space="preserve">Reviewing IRB requires </w:t>
            </w:r>
            <w:r w:rsidR="00275C19" w:rsidRPr="002B12B9">
              <w:rPr>
                <w:rFonts w:ascii="Calibri" w:hAnsi="Calibri" w:cs="Calibri"/>
                <w:b/>
              </w:rPr>
              <w:t xml:space="preserve">HIPAA authorization language to be incorporated into </w:t>
            </w:r>
            <w:r w:rsidR="00275C19">
              <w:rPr>
                <w:rFonts w:ascii="Calibri" w:hAnsi="Calibri" w:cs="Calibri"/>
                <w:b/>
              </w:rPr>
              <w:t>an authorization form separate from a consent form</w:t>
            </w:r>
            <w:r w:rsidR="00275C19">
              <w:rPr>
                <w:rFonts w:ascii="Calibri" w:hAnsi="Calibri" w:cs="Calibri"/>
              </w:rPr>
              <w:t>. The Relying Institution shall be responsible for ensuring the separate form complies with applicable requirements in the HIPAA Privacy Rule.</w:t>
            </w:r>
          </w:p>
        </w:tc>
      </w:tr>
      <w:tr w:rsidR="00275C19" w14:paraId="03DB076D" w14:textId="77777777" w:rsidTr="008640C8">
        <w:tc>
          <w:tcPr>
            <w:tcW w:w="3595" w:type="dxa"/>
          </w:tcPr>
          <w:p w14:paraId="76324C20" w14:textId="77777777" w:rsidR="00275C19" w:rsidRPr="00A13E73" w:rsidRDefault="00275C19" w:rsidP="00EA7EB7">
            <w:pPr>
              <w:pStyle w:val="ListParagraph"/>
              <w:numPr>
                <w:ilvl w:val="0"/>
                <w:numId w:val="2"/>
              </w:numPr>
              <w:rPr>
                <w:b/>
              </w:rPr>
            </w:pPr>
            <w:r w:rsidRPr="00A13E73">
              <w:rPr>
                <w:b/>
              </w:rPr>
              <w:lastRenderedPageBreak/>
              <w:t>Conflicts of interest</w:t>
            </w:r>
          </w:p>
          <w:p w14:paraId="17FA1ED7" w14:textId="6CB352A1" w:rsidR="00275C19" w:rsidRPr="00275C19" w:rsidRDefault="00275C19" w:rsidP="00EA7EB7">
            <w:pPr>
              <w:ind w:left="360"/>
              <w:rPr>
                <w:b/>
              </w:rPr>
            </w:pPr>
          </w:p>
        </w:tc>
        <w:tc>
          <w:tcPr>
            <w:tcW w:w="7243" w:type="dxa"/>
          </w:tcPr>
          <w:p w14:paraId="33E89ED3" w14:textId="4811A2A4" w:rsidR="00275C19" w:rsidRDefault="00830EF3" w:rsidP="001B7A23">
            <w:pPr>
              <w:ind w:left="270" w:hanging="270"/>
              <w:rPr>
                <w:b/>
              </w:rPr>
            </w:pPr>
            <w:sdt>
              <w:sdtPr>
                <w:rPr>
                  <w:b/>
                </w:rPr>
                <w:id w:val="790637615"/>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275C19" w:rsidRPr="00883C63">
              <w:t xml:space="preserve"> </w:t>
            </w:r>
            <w:r w:rsidR="00275C19">
              <w:rPr>
                <w:rFonts w:ascii="Calibri" w:eastAsia="Calibri" w:hAnsi="Calibri" w:cs="Calibri"/>
                <w:b/>
              </w:rPr>
              <w:t>OPTION 1</w:t>
            </w:r>
            <w:r w:rsidR="00275C19" w:rsidRPr="00696251">
              <w:rPr>
                <w:rFonts w:ascii="Calibri" w:eastAsia="Calibri" w:hAnsi="Calibri" w:cs="Calibri"/>
                <w:b/>
              </w:rPr>
              <w:t xml:space="preserve"> </w:t>
            </w:r>
            <w:r w:rsidR="00275C19" w:rsidRPr="00316893">
              <w:t>–</w:t>
            </w:r>
            <w:r w:rsidR="00275C19">
              <w:t xml:space="preserve"> </w:t>
            </w:r>
            <w:r w:rsidR="00275C19">
              <w:rPr>
                <w:b/>
              </w:rPr>
              <w:t xml:space="preserve">Relying Institution(s) will perform conflict of interest analyses under their policies </w:t>
            </w:r>
          </w:p>
          <w:p w14:paraId="7E21DBA4" w14:textId="77777777" w:rsidR="00275C19" w:rsidRDefault="00275C19" w:rsidP="00EA7EB7">
            <w:pPr>
              <w:ind w:left="270"/>
            </w:pPr>
            <w:r w:rsidRPr="00612349">
              <w:t>T</w:t>
            </w:r>
            <w:r>
              <w:t>he Relying Institution(s) will perform their own analyses under their relevant policy(</w:t>
            </w:r>
            <w:proofErr w:type="spellStart"/>
            <w:r>
              <w:t>ies</w:t>
            </w:r>
            <w:proofErr w:type="spellEnd"/>
            <w:r>
              <w:t>) with respect to disclosure and management of their Research Personnel’s conflicts of interest in connection with the identified study(</w:t>
            </w:r>
            <w:proofErr w:type="spellStart"/>
            <w:r>
              <w:t>ies</w:t>
            </w:r>
            <w:proofErr w:type="spellEnd"/>
            <w:r>
              <w:t xml:space="preserve">). The Relying Institution’s(s’) resulting determinations, prohibitions, management plans, and any updates will be provided to the Reviewing IRB. </w:t>
            </w:r>
          </w:p>
          <w:p w14:paraId="773D8BF5" w14:textId="77777777" w:rsidR="00275C19" w:rsidRPr="003F7DEA" w:rsidRDefault="00275C19" w:rsidP="00EA7EB7">
            <w:pPr>
              <w:ind w:left="270"/>
            </w:pPr>
            <w:r w:rsidRPr="003F7DEA">
              <w:t>Note that the Reviewing IRB has the right to impose additional prohibitions or conflict management requirements.</w:t>
            </w:r>
          </w:p>
          <w:p w14:paraId="1D628D7E" w14:textId="77777777" w:rsidR="00275C19" w:rsidRDefault="00830EF3" w:rsidP="001B7A23">
            <w:pPr>
              <w:ind w:left="270" w:hanging="270"/>
              <w:rPr>
                <w:b/>
              </w:rPr>
            </w:pPr>
            <w:sdt>
              <w:sdtPr>
                <w:rPr>
                  <w:b/>
                </w:rPr>
                <w:id w:val="1492445659"/>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OPTION 2</w:t>
            </w:r>
            <w:r w:rsidR="00275C19" w:rsidRPr="00696251">
              <w:rPr>
                <w:rFonts w:ascii="Calibri" w:eastAsia="Calibri" w:hAnsi="Calibri" w:cs="Calibri"/>
                <w:b/>
              </w:rPr>
              <w:t xml:space="preserve"> </w:t>
            </w:r>
            <w:r w:rsidR="00275C19" w:rsidRPr="00316893">
              <w:t>–</w:t>
            </w:r>
            <w:r w:rsidR="00275C19">
              <w:t xml:space="preserve"> </w:t>
            </w:r>
            <w:r w:rsidR="00275C19">
              <w:rPr>
                <w:b/>
              </w:rPr>
              <w:t>Reviewing IRB will perform conflict of interest analyses under its policies</w:t>
            </w:r>
          </w:p>
          <w:p w14:paraId="68DAD2F8" w14:textId="77777777" w:rsidR="00275C19" w:rsidRDefault="00275C19" w:rsidP="00EA7EB7">
            <w:pPr>
              <w:ind w:left="270"/>
            </w:pPr>
            <w:r w:rsidRPr="00612349">
              <w:t>T</w:t>
            </w:r>
            <w:r>
              <w:t>he Reviewing IRB will apply its institution’s own policies with respect to disclosure and management of the Relying Institution’s(s’) Research Personnel’s conflicts of interest in connection with the identified study(</w:t>
            </w:r>
            <w:proofErr w:type="spellStart"/>
            <w:r>
              <w:t>ies</w:t>
            </w:r>
            <w:proofErr w:type="spellEnd"/>
            <w:r>
              <w:t xml:space="preserve">). The Reviewing IRB will notify the Relying Institution(s) of the IRB’s resulting determinations, prohibitions, management plans, and any changes thereto. </w:t>
            </w:r>
          </w:p>
          <w:p w14:paraId="78F9CC3C" w14:textId="77777777" w:rsidR="00275C19" w:rsidRPr="003F7DEA" w:rsidRDefault="00275C19" w:rsidP="00EA7EB7">
            <w:pPr>
              <w:ind w:left="270"/>
              <w:rPr>
                <w:rFonts w:ascii="Calibri" w:eastAsia="Calibri" w:hAnsi="Calibri" w:cs="Calibri"/>
              </w:rPr>
            </w:pPr>
            <w:r w:rsidRPr="003F7DEA">
              <w:t>Note that the Relying Institution(s) may propose additional prohibitions or conflict management requirements to the Reviewing IRB for approval.</w:t>
            </w:r>
          </w:p>
          <w:p w14:paraId="4D877145" w14:textId="77777777" w:rsidR="00275C19" w:rsidRDefault="00830EF3" w:rsidP="00EA7EB7">
            <w:pPr>
              <w:ind w:left="288" w:hanging="288"/>
              <w:rPr>
                <w:b/>
              </w:rPr>
            </w:pPr>
            <w:sdt>
              <w:sdtPr>
                <w:rPr>
                  <w:b/>
                </w:rPr>
                <w:id w:val="-282808729"/>
                <w14:checkbox>
                  <w14:checked w14:val="0"/>
                  <w14:checkedState w14:val="2612" w14:font="MS Gothic"/>
                  <w14:uncheckedState w14:val="2610" w14:font="MS Gothic"/>
                </w14:checkbox>
              </w:sdtPr>
              <w:sdtEndPr/>
              <w:sdtContent>
                <w:r w:rsidR="00275C19">
                  <w:rPr>
                    <w:rFonts w:ascii="MS Gothic" w:eastAsia="MS Gothic" w:hAnsi="MS Gothic" w:hint="eastAsia"/>
                    <w:b/>
                  </w:rPr>
                  <w:t>☐</w:t>
                </w:r>
              </w:sdtContent>
            </w:sdt>
            <w:r w:rsidR="00275C19" w:rsidRPr="00883C63">
              <w:t xml:space="preserve"> </w:t>
            </w:r>
            <w:r w:rsidR="00275C19">
              <w:rPr>
                <w:rFonts w:ascii="Calibri" w:eastAsia="Calibri" w:hAnsi="Calibri" w:cs="Calibri"/>
                <w:b/>
              </w:rPr>
              <w:t>OPTION 3</w:t>
            </w:r>
            <w:r w:rsidR="00275C19" w:rsidRPr="00696251">
              <w:rPr>
                <w:rFonts w:ascii="Calibri" w:eastAsia="Calibri" w:hAnsi="Calibri" w:cs="Calibri"/>
                <w:b/>
              </w:rPr>
              <w:t xml:space="preserve"> </w:t>
            </w:r>
            <w:r w:rsidR="00275C19" w:rsidRPr="00316893">
              <w:t>–</w:t>
            </w:r>
            <w:r w:rsidR="00275C19">
              <w:t xml:space="preserve"> </w:t>
            </w:r>
            <w:r w:rsidR="00275C19">
              <w:rPr>
                <w:b/>
              </w:rPr>
              <w:t>Relying Institution(s) and Reviewing IRB have agreed on an alternate plan for conflict of interest analyses</w:t>
            </w:r>
          </w:p>
          <w:p w14:paraId="717DD82C" w14:textId="41EE4778" w:rsidR="00275C19" w:rsidRDefault="00275C19" w:rsidP="00EA7EB7">
            <w:pPr>
              <w:rPr>
                <w:rFonts w:ascii="MS Gothic" w:eastAsia="MS Gothic" w:hAnsi="MS Gothic"/>
                <w:b/>
              </w:rPr>
            </w:pPr>
          </w:p>
        </w:tc>
      </w:tr>
      <w:tr w:rsidR="000B2443" w14:paraId="305A08E3" w14:textId="77777777" w:rsidTr="008640C8">
        <w:tc>
          <w:tcPr>
            <w:tcW w:w="3595" w:type="dxa"/>
          </w:tcPr>
          <w:p w14:paraId="618A312A" w14:textId="77777777" w:rsidR="000B2443" w:rsidRPr="00A13E73" w:rsidRDefault="000B2443" w:rsidP="00EA7EB7">
            <w:pPr>
              <w:pStyle w:val="ListParagraph"/>
              <w:numPr>
                <w:ilvl w:val="0"/>
                <w:numId w:val="2"/>
              </w:numPr>
              <w:rPr>
                <w:b/>
              </w:rPr>
            </w:pPr>
            <w:r w:rsidRPr="00A13E73">
              <w:rPr>
                <w:b/>
              </w:rPr>
              <w:t>IRB notifications (of decisions, changes, lapses in approval, problems, noncompliance)</w:t>
            </w:r>
          </w:p>
          <w:p w14:paraId="44E2FC1E" w14:textId="5B9B78B3" w:rsidR="000B2443" w:rsidRPr="000B2443" w:rsidRDefault="000B2443" w:rsidP="00EA7EB7">
            <w:pPr>
              <w:ind w:left="360"/>
              <w:rPr>
                <w:b/>
              </w:rPr>
            </w:pPr>
          </w:p>
        </w:tc>
        <w:tc>
          <w:tcPr>
            <w:tcW w:w="7243" w:type="dxa"/>
          </w:tcPr>
          <w:p w14:paraId="6571D65D" w14:textId="7F7AD859" w:rsidR="000B2443" w:rsidRDefault="00830EF3" w:rsidP="00EA7EB7">
            <w:pPr>
              <w:rPr>
                <w:rFonts w:ascii="Calibri" w:eastAsia="Calibri" w:hAnsi="Calibri" w:cs="Calibri"/>
              </w:rPr>
            </w:pPr>
            <w:sdt>
              <w:sdtPr>
                <w:rPr>
                  <w:b/>
                </w:rPr>
                <w:id w:val="110406840"/>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0B2443" w:rsidRPr="00883C63">
              <w:t xml:space="preserve"> </w:t>
            </w:r>
            <w:r w:rsidR="000B2443">
              <w:rPr>
                <w:rFonts w:ascii="Calibri" w:eastAsia="Calibri" w:hAnsi="Calibri" w:cs="Calibri"/>
                <w:b/>
              </w:rPr>
              <w:t>OPTION 1</w:t>
            </w:r>
            <w:r w:rsidR="000B2443" w:rsidRPr="00BC1F4B">
              <w:rPr>
                <w:rFonts w:ascii="Calibri" w:eastAsia="Calibri" w:hAnsi="Calibri" w:cs="Calibri"/>
              </w:rPr>
              <w:t xml:space="preserve"> –</w:t>
            </w:r>
            <w:r w:rsidR="000B2443">
              <w:rPr>
                <w:rFonts w:ascii="Calibri" w:eastAsia="Calibri" w:hAnsi="Calibri" w:cs="Calibri"/>
              </w:rPr>
              <w:t xml:space="preserve"> </w:t>
            </w:r>
            <w:r w:rsidR="000B2443" w:rsidRPr="00D62FCB">
              <w:rPr>
                <w:rFonts w:ascii="Calibri" w:eastAsia="Calibri" w:hAnsi="Calibri" w:cs="Calibri"/>
                <w:b/>
              </w:rPr>
              <w:t>Reviewing IRB will provide notification</w:t>
            </w:r>
            <w:r w:rsidR="000B2443">
              <w:rPr>
                <w:rFonts w:ascii="Calibri" w:eastAsia="Calibri" w:hAnsi="Calibri" w:cs="Calibri"/>
                <w:b/>
              </w:rPr>
              <w:t>s directly</w:t>
            </w:r>
          </w:p>
          <w:p w14:paraId="5B39A37F" w14:textId="7A128604" w:rsidR="000B2443" w:rsidRDefault="000B2443" w:rsidP="00EA7EB7">
            <w:pPr>
              <w:ind w:left="270"/>
              <w:rPr>
                <w:rFonts w:ascii="Calibri" w:eastAsia="Calibri" w:hAnsi="Calibri" w:cs="Calibri"/>
              </w:rPr>
            </w:pPr>
            <w:r>
              <w:rPr>
                <w:rFonts w:ascii="Calibri" w:eastAsia="Calibri" w:hAnsi="Calibri" w:cs="Calibri"/>
              </w:rPr>
              <w:t>The Reviewing IRB will notify the Overall PI and Relying Institution(s) of:</w:t>
            </w:r>
          </w:p>
          <w:p w14:paraId="4D4226B0" w14:textId="77777777" w:rsidR="000B2443" w:rsidRPr="00FB5EAE" w:rsidRDefault="000B2443" w:rsidP="00EA7EB7">
            <w:pPr>
              <w:pStyle w:val="ListParagraph"/>
              <w:numPr>
                <w:ilvl w:val="0"/>
                <w:numId w:val="4"/>
              </w:numPr>
              <w:rPr>
                <w:b/>
              </w:rPr>
            </w:pPr>
            <w:r w:rsidRPr="00FB5EAE">
              <w:rPr>
                <w:rFonts w:ascii="Calibri" w:eastAsia="Calibri" w:hAnsi="Calibri" w:cs="Calibri"/>
              </w:rPr>
              <w:t xml:space="preserve">its determination(s) (e.g., exemption) or review decision(s) (e.g., </w:t>
            </w:r>
            <w:r w:rsidRPr="00FB5EAE">
              <w:rPr>
                <w:rFonts w:ascii="Calibri" w:eastAsia="Calibri" w:hAnsi="Calibri" w:cs="Calibri"/>
              </w:rPr>
              <w:lastRenderedPageBreak/>
              <w:t>approval, disapproval, required modifications) regarding the identified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xml:space="preserve">; </w:t>
            </w:r>
          </w:p>
          <w:p w14:paraId="7DD308D2" w14:textId="77777777" w:rsidR="000B2443" w:rsidRPr="00FB5EAE" w:rsidRDefault="000B2443" w:rsidP="00EA7EB7">
            <w:pPr>
              <w:pStyle w:val="ListParagraph"/>
              <w:numPr>
                <w:ilvl w:val="0"/>
                <w:numId w:val="4"/>
              </w:numPr>
              <w:rPr>
                <w:b/>
              </w:rPr>
            </w:pPr>
            <w:r w:rsidRPr="00FB5EAE">
              <w:rPr>
                <w:rFonts w:ascii="Calibri" w:eastAsia="Calibri" w:hAnsi="Calibri" w:cs="Calibri"/>
              </w:rPr>
              <w:t>approved changes to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w:t>
            </w:r>
          </w:p>
          <w:p w14:paraId="24066D28" w14:textId="77777777" w:rsidR="000B2443" w:rsidRPr="00FB5EAE" w:rsidRDefault="000B2443" w:rsidP="00EA7EB7">
            <w:pPr>
              <w:pStyle w:val="ListParagraph"/>
              <w:numPr>
                <w:ilvl w:val="0"/>
                <w:numId w:val="4"/>
              </w:numPr>
              <w:rPr>
                <w:b/>
              </w:rPr>
            </w:pPr>
            <w:r w:rsidRPr="00FB5EAE">
              <w:rPr>
                <w:rFonts w:ascii="Calibri" w:eastAsia="Calibri" w:hAnsi="Calibri" w:cs="Calibri"/>
              </w:rPr>
              <w:t>lapses in IRB approval for the study(</w:t>
            </w:r>
            <w:proofErr w:type="spellStart"/>
            <w:r w:rsidRPr="00FB5EAE">
              <w:rPr>
                <w:rFonts w:ascii="Calibri" w:eastAsia="Calibri" w:hAnsi="Calibri" w:cs="Calibri"/>
              </w:rPr>
              <w:t>ies</w:t>
            </w:r>
            <w:proofErr w:type="spellEnd"/>
            <w:r w:rsidRPr="00FB5EAE">
              <w:rPr>
                <w:rFonts w:ascii="Calibri" w:eastAsia="Calibri" w:hAnsi="Calibri" w:cs="Calibri"/>
              </w:rPr>
              <w:t>) and any applicable corrective action plans</w:t>
            </w:r>
            <w:r>
              <w:rPr>
                <w:rFonts w:ascii="Calibri" w:eastAsia="Calibri" w:hAnsi="Calibri" w:cs="Calibri"/>
              </w:rPr>
              <w:t xml:space="preserve">; </w:t>
            </w:r>
          </w:p>
          <w:p w14:paraId="25965D97" w14:textId="77777777" w:rsidR="000B2443" w:rsidRPr="00FB5EAE" w:rsidRDefault="000B2443" w:rsidP="00EA7EB7">
            <w:pPr>
              <w:pStyle w:val="ListParagraph"/>
              <w:numPr>
                <w:ilvl w:val="0"/>
                <w:numId w:val="4"/>
              </w:numPr>
              <w:rPr>
                <w:b/>
              </w:rPr>
            </w:pPr>
            <w:r w:rsidRPr="00FB5EAE">
              <w:rPr>
                <w:rFonts w:ascii="Calibri" w:eastAsia="Calibri" w:hAnsi="Calibri" w:cs="Calibri"/>
              </w:rPr>
              <w:t>its review decisions, findings, and actions (including any suspension or termination of IRB approval) regarding unanticipated problems, subject injuries, and significant subject complaints in the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and</w:t>
            </w:r>
          </w:p>
          <w:p w14:paraId="14913D54" w14:textId="77777777" w:rsidR="000B2443" w:rsidRPr="00FB5EAE" w:rsidRDefault="000B2443" w:rsidP="00EA7EB7">
            <w:pPr>
              <w:pStyle w:val="ListParagraph"/>
              <w:numPr>
                <w:ilvl w:val="0"/>
                <w:numId w:val="4"/>
              </w:numPr>
              <w:rPr>
                <w:b/>
              </w:rPr>
            </w:pPr>
            <w:r w:rsidRPr="00FB5EAE">
              <w:rPr>
                <w:rFonts w:ascii="Calibri" w:eastAsia="Calibri" w:hAnsi="Calibri" w:cs="Calibri"/>
              </w:rPr>
              <w:t>its findings and actions (including any suspension or termination of IRB approval) regarding serious or continuing or apparent serious or continuing noncompliance in the study(</w:t>
            </w:r>
            <w:proofErr w:type="spellStart"/>
            <w:r w:rsidRPr="00FB5EAE">
              <w:rPr>
                <w:rFonts w:ascii="Calibri" w:eastAsia="Calibri" w:hAnsi="Calibri" w:cs="Calibri"/>
              </w:rPr>
              <w:t>ies</w:t>
            </w:r>
            <w:proofErr w:type="spellEnd"/>
            <w:r w:rsidRPr="00FB5EAE">
              <w:rPr>
                <w:rFonts w:ascii="Calibri" w:eastAsia="Calibri" w:hAnsi="Calibri" w:cs="Calibri"/>
              </w:rPr>
              <w:t>) and any required remediation actions.</w:t>
            </w:r>
            <w:r>
              <w:rPr>
                <w:rFonts w:ascii="Calibri" w:eastAsia="Calibri" w:hAnsi="Calibri" w:cs="Calibri"/>
              </w:rPr>
              <w:t xml:space="preserve"> </w:t>
            </w:r>
          </w:p>
          <w:p w14:paraId="1949F4EE" w14:textId="77777777" w:rsidR="000B2443" w:rsidRDefault="00830EF3" w:rsidP="00EA7EB7">
            <w:sdt>
              <w:sdtPr>
                <w:rPr>
                  <w:b/>
                </w:rPr>
                <w:id w:val="1717393790"/>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 xml:space="preserve">– </w:t>
            </w:r>
            <w:r w:rsidR="000B2443">
              <w:rPr>
                <w:b/>
              </w:rPr>
              <w:t xml:space="preserve">Reviewing IRB will provide </w:t>
            </w:r>
            <w:r w:rsidR="000B2443" w:rsidRPr="00B043B8">
              <w:rPr>
                <w:b/>
              </w:rPr>
              <w:t>notification</w:t>
            </w:r>
            <w:r w:rsidR="000B2443">
              <w:rPr>
                <w:b/>
              </w:rPr>
              <w:t>s through another party</w:t>
            </w:r>
          </w:p>
          <w:p w14:paraId="30E84E91" w14:textId="77777777" w:rsidR="00F82F76" w:rsidRDefault="000B2443" w:rsidP="00EA7EB7">
            <w:pPr>
              <w:ind w:left="270"/>
            </w:pPr>
            <w:r w:rsidRPr="00316893">
              <w:t>The</w:t>
            </w:r>
            <w:r>
              <w:t xml:space="preserve"> Reviewing IRB will provide notifications through </w:t>
            </w:r>
          </w:p>
          <w:p w14:paraId="2FA13E49" w14:textId="77777777" w:rsidR="00F82F76" w:rsidRDefault="00F82F76" w:rsidP="00EA7EB7">
            <w:pPr>
              <w:ind w:left="270"/>
            </w:pPr>
          </w:p>
          <w:p w14:paraId="4545FCD7" w14:textId="5B1AD66F" w:rsidR="000B2443" w:rsidRDefault="000B2443" w:rsidP="00EA7EB7">
            <w:pPr>
              <w:ind w:left="270"/>
              <w:rPr>
                <w:rFonts w:ascii="Calibri" w:eastAsia="Calibri" w:hAnsi="Calibri" w:cs="Calibri"/>
              </w:rPr>
            </w:pPr>
            <w:r>
              <w:t xml:space="preserve"> to the Overall PI and Relying Institution(s) </w:t>
            </w:r>
            <w:r>
              <w:rPr>
                <w:rFonts w:ascii="Calibri" w:eastAsia="Calibri" w:hAnsi="Calibri" w:cs="Calibri"/>
              </w:rPr>
              <w:t>of:</w:t>
            </w:r>
          </w:p>
          <w:p w14:paraId="2901AEA8" w14:textId="77777777" w:rsidR="000B2443" w:rsidRPr="00FB5EAE" w:rsidRDefault="000B2443" w:rsidP="00EA7EB7">
            <w:pPr>
              <w:pStyle w:val="ListParagraph"/>
              <w:numPr>
                <w:ilvl w:val="0"/>
                <w:numId w:val="5"/>
              </w:numPr>
            </w:pPr>
            <w:r w:rsidRPr="00FB5EAE">
              <w:rPr>
                <w:rFonts w:ascii="Calibri" w:eastAsia="Calibri" w:hAnsi="Calibri" w:cs="Calibri"/>
              </w:rPr>
              <w:t>the Reviewing IRB’s determination(s) (e.g., exemption) or review decision(s) (e.g., approval, disapproval, required modifications) regarding the identified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xml:space="preserve">; </w:t>
            </w:r>
          </w:p>
          <w:p w14:paraId="409621BF" w14:textId="77777777" w:rsidR="000B2443" w:rsidRPr="00FB5EAE" w:rsidRDefault="000B2443" w:rsidP="00EA7EB7">
            <w:pPr>
              <w:pStyle w:val="ListParagraph"/>
              <w:numPr>
                <w:ilvl w:val="0"/>
                <w:numId w:val="5"/>
              </w:numPr>
            </w:pPr>
            <w:r w:rsidRPr="00FB5EAE">
              <w:rPr>
                <w:rFonts w:ascii="Calibri" w:eastAsia="Calibri" w:hAnsi="Calibri" w:cs="Calibri"/>
              </w:rPr>
              <w:t>approved changes to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w:t>
            </w:r>
          </w:p>
          <w:p w14:paraId="5A997780" w14:textId="77777777" w:rsidR="000B2443" w:rsidRPr="00FB5EAE" w:rsidRDefault="000B2443" w:rsidP="00EA7EB7">
            <w:pPr>
              <w:pStyle w:val="ListParagraph"/>
              <w:numPr>
                <w:ilvl w:val="0"/>
                <w:numId w:val="5"/>
              </w:numPr>
            </w:pPr>
            <w:r w:rsidRPr="00FB5EAE">
              <w:rPr>
                <w:rFonts w:ascii="Calibri" w:eastAsia="Calibri" w:hAnsi="Calibri" w:cs="Calibri"/>
              </w:rPr>
              <w:t>lapses in IRB approval for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and any applicable corrective action plans; </w:t>
            </w:r>
          </w:p>
          <w:p w14:paraId="4C8A3E8B" w14:textId="77777777" w:rsidR="000B2443" w:rsidRPr="00A13E73" w:rsidRDefault="000B2443" w:rsidP="00EA7EB7">
            <w:pPr>
              <w:pStyle w:val="ListParagraph"/>
              <w:numPr>
                <w:ilvl w:val="0"/>
                <w:numId w:val="5"/>
              </w:numPr>
            </w:pPr>
            <w:r>
              <w:rPr>
                <w:rFonts w:ascii="Calibri" w:eastAsia="Calibri" w:hAnsi="Calibri" w:cs="Calibri"/>
              </w:rPr>
              <w:t>the Reviewing IRB’s</w:t>
            </w:r>
            <w:r w:rsidRPr="00FB5EAE">
              <w:rPr>
                <w:rFonts w:ascii="Calibri" w:eastAsia="Calibri" w:hAnsi="Calibri" w:cs="Calibri"/>
              </w:rPr>
              <w:t xml:space="preserve"> review decisions, findings, and actions (including any suspension or termination of IRB approval) regarding unanticipated problems, subject injuries, and significant subject complaints in the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and</w:t>
            </w:r>
          </w:p>
          <w:p w14:paraId="52EEDB25" w14:textId="6E8E3A8D" w:rsidR="000B2443" w:rsidRDefault="000B2443" w:rsidP="0048143B">
            <w:pPr>
              <w:ind w:left="363"/>
              <w:rPr>
                <w:b/>
              </w:rPr>
            </w:pPr>
            <w:r w:rsidRPr="00A13E73">
              <w:rPr>
                <w:rFonts w:ascii="Calibri" w:eastAsia="Calibri" w:hAnsi="Calibri" w:cs="Calibri"/>
              </w:rPr>
              <w:t>the Reviewing IRB’s findings and actions (including any suspension or termination of IRB approval) regarding serious or continuing or apparent serious or continuing noncompliance in the study(</w:t>
            </w:r>
            <w:proofErr w:type="spellStart"/>
            <w:r w:rsidRPr="00A13E73">
              <w:rPr>
                <w:rFonts w:ascii="Calibri" w:eastAsia="Calibri" w:hAnsi="Calibri" w:cs="Calibri"/>
              </w:rPr>
              <w:t>ies</w:t>
            </w:r>
            <w:proofErr w:type="spellEnd"/>
            <w:r w:rsidRPr="00A13E73">
              <w:rPr>
                <w:rFonts w:ascii="Calibri" w:eastAsia="Calibri" w:hAnsi="Calibri" w:cs="Calibri"/>
              </w:rPr>
              <w:t>) and any required remediation actions</w:t>
            </w:r>
            <w:r>
              <w:t>.</w:t>
            </w:r>
          </w:p>
        </w:tc>
      </w:tr>
      <w:tr w:rsidR="000B2443" w14:paraId="65BD43EF" w14:textId="77777777" w:rsidTr="008640C8">
        <w:tc>
          <w:tcPr>
            <w:tcW w:w="3595" w:type="dxa"/>
          </w:tcPr>
          <w:p w14:paraId="5A6068AF" w14:textId="77777777" w:rsidR="00633141" w:rsidRPr="00D2521D" w:rsidRDefault="00633141" w:rsidP="00633141">
            <w:pPr>
              <w:pStyle w:val="ListParagraph"/>
              <w:numPr>
                <w:ilvl w:val="0"/>
                <w:numId w:val="2"/>
              </w:numPr>
              <w:rPr>
                <w:b/>
              </w:rPr>
            </w:pPr>
            <w:r w:rsidRPr="00D2521D">
              <w:rPr>
                <w:b/>
              </w:rPr>
              <w:t>IRB-initiated audits/investigations</w:t>
            </w:r>
          </w:p>
          <w:p w14:paraId="3F9CF50A" w14:textId="77777777" w:rsidR="00633141" w:rsidRPr="00D2521D" w:rsidRDefault="00633141" w:rsidP="00633141">
            <w:pPr>
              <w:pStyle w:val="ListParagraph"/>
              <w:ind w:left="360"/>
            </w:pPr>
          </w:p>
          <w:p w14:paraId="2E218BB5" w14:textId="77777777" w:rsidR="00633141" w:rsidRPr="00D2521D" w:rsidRDefault="00633141" w:rsidP="00633141">
            <w:pPr>
              <w:pStyle w:val="ListParagraph"/>
              <w:ind w:left="360"/>
              <w:rPr>
                <w:i/>
              </w:rPr>
            </w:pPr>
          </w:p>
          <w:p w14:paraId="4A375DC9" w14:textId="0D22C666" w:rsidR="000B2443" w:rsidRPr="000B2443" w:rsidRDefault="00633141" w:rsidP="00A260AD">
            <w:pPr>
              <w:ind w:left="360"/>
              <w:rPr>
                <w:b/>
              </w:rPr>
            </w:pPr>
            <w:r w:rsidRPr="00D2521D">
              <w:t xml:space="preserve">Note: this section applies only to audits/investigations initiated by the IRB. Institutions will conduct audits under their Human Research Protection Programs according to their HRPP polices. Such audits/investigations are not covered by these options. </w:t>
            </w:r>
          </w:p>
        </w:tc>
        <w:tc>
          <w:tcPr>
            <w:tcW w:w="7243" w:type="dxa"/>
          </w:tcPr>
          <w:p w14:paraId="0ED59110" w14:textId="77777777" w:rsidR="000B2443" w:rsidRDefault="00830EF3" w:rsidP="00EA7EB7">
            <w:pPr>
              <w:rPr>
                <w:b/>
              </w:rPr>
            </w:pPr>
            <w:sdt>
              <w:sdtPr>
                <w:rPr>
                  <w:b/>
                </w:rPr>
                <w:id w:val="-1938353319"/>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1</w:t>
            </w:r>
            <w:r w:rsidR="000B2443" w:rsidRPr="00696251">
              <w:rPr>
                <w:rFonts w:ascii="Calibri" w:eastAsia="Calibri" w:hAnsi="Calibri" w:cs="Calibri"/>
                <w:b/>
              </w:rPr>
              <w:t xml:space="preserve"> </w:t>
            </w:r>
            <w:r w:rsidR="000B2443" w:rsidRPr="00316893">
              <w:t>–</w:t>
            </w:r>
            <w:r w:rsidR="000B2443">
              <w:t xml:space="preserve"> </w:t>
            </w:r>
            <w:r w:rsidR="000B2443">
              <w:rPr>
                <w:b/>
              </w:rPr>
              <w:t>Reviewing IRB will conduct any IRB audits or investigations</w:t>
            </w:r>
          </w:p>
          <w:p w14:paraId="322ACF35" w14:textId="77777777" w:rsidR="000B2443" w:rsidRDefault="000B2443" w:rsidP="00EA7EB7">
            <w:pPr>
              <w:ind w:left="270"/>
            </w:pPr>
            <w:r>
              <w:lastRenderedPageBreak/>
              <w:t>The Reviewing IRB will conduct any audits or investigations it initiates of matters relating to the Ceded Review of the identified study(</w:t>
            </w:r>
            <w:proofErr w:type="spellStart"/>
            <w:r>
              <w:t>ies</w:t>
            </w:r>
            <w:proofErr w:type="spellEnd"/>
            <w:r>
              <w:t>).</w:t>
            </w:r>
          </w:p>
          <w:p w14:paraId="73C017F6" w14:textId="77777777" w:rsidR="000B2443" w:rsidRDefault="00830EF3" w:rsidP="001B7A23">
            <w:pPr>
              <w:ind w:left="270" w:hanging="270"/>
              <w:rPr>
                <w:b/>
              </w:rPr>
            </w:pPr>
            <w:sdt>
              <w:sdtPr>
                <w:rPr>
                  <w:b/>
                </w:rPr>
                <w:id w:val="-1797598313"/>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w:t>
            </w:r>
            <w:r w:rsidR="000B2443">
              <w:t xml:space="preserve"> </w:t>
            </w:r>
            <w:r w:rsidR="000B2443">
              <w:rPr>
                <w:b/>
              </w:rPr>
              <w:t>Relying Institution(s) will conduct any IRB-initiated audits or investigations</w:t>
            </w:r>
          </w:p>
          <w:p w14:paraId="2B64332D" w14:textId="77777777" w:rsidR="000B2443" w:rsidRDefault="000B2443" w:rsidP="00EA7EB7">
            <w:pPr>
              <w:ind w:left="270"/>
            </w:pPr>
            <w:r>
              <w:t>The Reviewing IRB will request Relying Institution(s) conduct any IRB-initiated audits or investigations of matters relating to the Ceded Review of the identified study(</w:t>
            </w:r>
            <w:proofErr w:type="spellStart"/>
            <w:r>
              <w:t>ies</w:t>
            </w:r>
            <w:proofErr w:type="spellEnd"/>
            <w:r>
              <w:t>).</w:t>
            </w:r>
          </w:p>
          <w:p w14:paraId="706BD93F" w14:textId="4D902D72" w:rsidR="000B2443" w:rsidRDefault="00830EF3" w:rsidP="00EA7EB7">
            <w:pPr>
              <w:ind w:left="288" w:hanging="288"/>
              <w:rPr>
                <w:b/>
              </w:rPr>
            </w:pPr>
            <w:sdt>
              <w:sdtPr>
                <w:rPr>
                  <w:b/>
                </w:rPr>
                <w:id w:val="-1214570589"/>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0B2443" w:rsidRPr="00883C63">
              <w:t xml:space="preserve"> </w:t>
            </w:r>
            <w:r w:rsidR="000B2443">
              <w:rPr>
                <w:rFonts w:ascii="Calibri" w:eastAsia="Calibri" w:hAnsi="Calibri" w:cs="Calibri"/>
                <w:b/>
              </w:rPr>
              <w:t>OPTION 3</w:t>
            </w:r>
            <w:r w:rsidR="000B2443" w:rsidRPr="00696251">
              <w:rPr>
                <w:rFonts w:ascii="Calibri" w:eastAsia="Calibri" w:hAnsi="Calibri" w:cs="Calibri"/>
                <w:b/>
              </w:rPr>
              <w:t xml:space="preserve"> </w:t>
            </w:r>
            <w:r w:rsidR="000B2443" w:rsidRPr="00316893">
              <w:t>–</w:t>
            </w:r>
            <w:r w:rsidR="000B2443">
              <w:t xml:space="preserve"> </w:t>
            </w:r>
            <w:r w:rsidR="000B2443">
              <w:rPr>
                <w:b/>
              </w:rPr>
              <w:t>Reviewing IRB and Relying Institution(s) will jointly conduct any IRB-initiated audits or investigations</w:t>
            </w:r>
          </w:p>
          <w:p w14:paraId="747A41BE" w14:textId="77777777" w:rsidR="000B2443" w:rsidRDefault="000B2443" w:rsidP="00EA7EB7">
            <w:pPr>
              <w:ind w:left="270"/>
            </w:pPr>
            <w:r>
              <w:t>The Reviewing IRB and the Relying Institution(s) will jointly conduct any IRB-initiated audits or investigations of matters relating to the Ceded Review of the identified study(</w:t>
            </w:r>
            <w:proofErr w:type="spellStart"/>
            <w:r>
              <w:t>ies</w:t>
            </w:r>
            <w:proofErr w:type="spellEnd"/>
            <w:r>
              <w:t xml:space="preserve">). </w:t>
            </w:r>
          </w:p>
          <w:p w14:paraId="51CC7238" w14:textId="77777777" w:rsidR="000B2443" w:rsidRDefault="00830EF3" w:rsidP="00EA7EB7">
            <w:pPr>
              <w:ind w:left="288" w:hanging="288"/>
              <w:rPr>
                <w:b/>
              </w:rPr>
            </w:pPr>
            <w:sdt>
              <w:sdtPr>
                <w:rPr>
                  <w:b/>
                </w:rPr>
                <w:id w:val="-181753670"/>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4</w:t>
            </w:r>
            <w:r w:rsidR="000B2443" w:rsidRPr="00696251">
              <w:rPr>
                <w:rFonts w:ascii="Calibri" w:eastAsia="Calibri" w:hAnsi="Calibri" w:cs="Calibri"/>
                <w:b/>
              </w:rPr>
              <w:t xml:space="preserve"> </w:t>
            </w:r>
            <w:r w:rsidR="000B2443" w:rsidRPr="00316893">
              <w:t>–</w:t>
            </w:r>
            <w:r w:rsidR="000B2443">
              <w:t xml:space="preserve"> </w:t>
            </w:r>
            <w:r w:rsidR="000B2443">
              <w:rPr>
                <w:b/>
              </w:rPr>
              <w:t>Plan for conduct of IRB-initiated audits or investigations will be determined on a case-by-case basis</w:t>
            </w:r>
          </w:p>
          <w:p w14:paraId="4915D5F0" w14:textId="57625C61" w:rsidR="000B2443" w:rsidRPr="001B7A23" w:rsidRDefault="000B2443" w:rsidP="001B7A23">
            <w:pPr>
              <w:ind w:left="270"/>
            </w:pPr>
            <w:r>
              <w:t>The Reviewing IRB and the Relying Institution(s) will agree upon a plan for the conduct of any IRB-initiated audit or investigation of a matter relating to the Ceded Review of the identified study(</w:t>
            </w:r>
            <w:proofErr w:type="spellStart"/>
            <w:r>
              <w:t>ies</w:t>
            </w:r>
            <w:proofErr w:type="spellEnd"/>
            <w:r>
              <w:t xml:space="preserve">) on a case-by-case basis and at the time the matter arises. </w:t>
            </w:r>
          </w:p>
        </w:tc>
      </w:tr>
      <w:tr w:rsidR="000B2443" w14:paraId="71A0E822" w14:textId="77777777" w:rsidTr="008640C8">
        <w:tc>
          <w:tcPr>
            <w:tcW w:w="3595" w:type="dxa"/>
          </w:tcPr>
          <w:p w14:paraId="27629E0E" w14:textId="6FB01111" w:rsidR="00633141" w:rsidRPr="00D2521D" w:rsidRDefault="00633141" w:rsidP="00633141">
            <w:pPr>
              <w:pStyle w:val="ListParagraph"/>
              <w:numPr>
                <w:ilvl w:val="0"/>
                <w:numId w:val="2"/>
              </w:numPr>
              <w:rPr>
                <w:b/>
              </w:rPr>
            </w:pPr>
            <w:r w:rsidRPr="00D2521D">
              <w:rPr>
                <w:b/>
              </w:rPr>
              <w:lastRenderedPageBreak/>
              <w:t>IRB-initiated external reporting</w:t>
            </w:r>
          </w:p>
          <w:p w14:paraId="0D563723" w14:textId="77777777" w:rsidR="00633141" w:rsidRPr="00D2521D" w:rsidRDefault="00633141" w:rsidP="00633141">
            <w:pPr>
              <w:pStyle w:val="ListParagraph"/>
              <w:ind w:left="360"/>
            </w:pPr>
          </w:p>
          <w:p w14:paraId="5614D815" w14:textId="50FD18DF" w:rsidR="000B2443" w:rsidRPr="000B2443" w:rsidRDefault="000B2443" w:rsidP="00633141">
            <w:pPr>
              <w:ind w:left="360"/>
              <w:rPr>
                <w:b/>
              </w:rPr>
            </w:pPr>
          </w:p>
        </w:tc>
        <w:tc>
          <w:tcPr>
            <w:tcW w:w="7243" w:type="dxa"/>
          </w:tcPr>
          <w:p w14:paraId="337E76D0" w14:textId="5374B969" w:rsidR="000B2443" w:rsidRDefault="00830EF3" w:rsidP="001B7A23">
            <w:pPr>
              <w:ind w:left="270" w:hanging="270"/>
              <w:rPr>
                <w:b/>
              </w:rPr>
            </w:pPr>
            <w:sdt>
              <w:sdtPr>
                <w:rPr>
                  <w:b/>
                </w:rPr>
                <w:id w:val="1296646281"/>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0B2443" w:rsidRPr="00883C63">
              <w:t xml:space="preserve"> </w:t>
            </w:r>
            <w:r w:rsidR="000B2443">
              <w:rPr>
                <w:rFonts w:ascii="Calibri" w:eastAsia="Calibri" w:hAnsi="Calibri" w:cs="Calibri"/>
                <w:b/>
              </w:rPr>
              <w:t>OPTION 1</w:t>
            </w:r>
            <w:r w:rsidR="000B2443" w:rsidRPr="00696251">
              <w:rPr>
                <w:rFonts w:ascii="Calibri" w:eastAsia="Calibri" w:hAnsi="Calibri" w:cs="Calibri"/>
                <w:b/>
              </w:rPr>
              <w:t xml:space="preserve"> </w:t>
            </w:r>
            <w:r w:rsidR="000B2443" w:rsidRPr="00316893">
              <w:t>–</w:t>
            </w:r>
            <w:r w:rsidR="000B2443">
              <w:t xml:space="preserve"> </w:t>
            </w:r>
            <w:r w:rsidR="000B2443">
              <w:rPr>
                <w:b/>
              </w:rPr>
              <w:t>Reviewing IRB will draft and submit reports to external recipients</w:t>
            </w:r>
          </w:p>
          <w:p w14:paraId="15A0D22C" w14:textId="77777777" w:rsidR="000B2443" w:rsidRDefault="000B2443" w:rsidP="00EA7EB7">
            <w:pPr>
              <w:ind w:left="270"/>
            </w:pPr>
            <w:r>
              <w:t>The Reviewing IRB will draft and submit 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t>ies</w:t>
            </w:r>
            <w:proofErr w:type="spellEnd"/>
            <w:r>
              <w:t xml:space="preserve">). </w:t>
            </w:r>
          </w:p>
          <w:p w14:paraId="32A000E5" w14:textId="77777777" w:rsidR="000B2443" w:rsidRPr="003F7DEA" w:rsidRDefault="000B2443" w:rsidP="00EA7EB7">
            <w:pPr>
              <w:ind w:left="270"/>
            </w:pPr>
            <w:r w:rsidRPr="003F7DEA">
              <w:t>Note that the Relying Institution(s) have the right to review/comment on the draft report(s) and to make/submit their own report(s) in addition to the Reviewing IRB’s report(s).</w:t>
            </w:r>
          </w:p>
          <w:p w14:paraId="580AE7EB" w14:textId="77777777" w:rsidR="000B2443" w:rsidRDefault="00830EF3" w:rsidP="001B7A23">
            <w:pPr>
              <w:ind w:left="270" w:hanging="270"/>
              <w:rPr>
                <w:b/>
              </w:rPr>
            </w:pPr>
            <w:sdt>
              <w:sdtPr>
                <w:rPr>
                  <w:b/>
                </w:rPr>
                <w:id w:val="664442393"/>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w:t>
            </w:r>
            <w:r w:rsidR="000B2443">
              <w:t xml:space="preserve"> </w:t>
            </w:r>
            <w:r w:rsidR="000B2443">
              <w:rPr>
                <w:b/>
              </w:rPr>
              <w:t>Relying Institution(s) will draft and submit reports to external recipients</w:t>
            </w:r>
          </w:p>
          <w:p w14:paraId="357002E1" w14:textId="77777777" w:rsidR="000B2443" w:rsidRDefault="000B2443" w:rsidP="00EA7EB7">
            <w:pPr>
              <w:ind w:left="270"/>
            </w:pPr>
            <w:r>
              <w:t xml:space="preserve">The Reviewing IRB will request the Relying Institution(s) to draft and submit </w:t>
            </w:r>
            <w:r>
              <w:lastRenderedPageBreak/>
              <w:t>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t>ies</w:t>
            </w:r>
            <w:proofErr w:type="spellEnd"/>
            <w:r>
              <w:t xml:space="preserve">). </w:t>
            </w:r>
          </w:p>
          <w:p w14:paraId="08BA418C" w14:textId="77777777" w:rsidR="000B2443" w:rsidRPr="003F7DEA" w:rsidRDefault="000B2443" w:rsidP="00EA7EB7">
            <w:pPr>
              <w:ind w:left="270"/>
            </w:pPr>
            <w:r w:rsidRPr="003F7DEA">
              <w:t>Note that the Reviewing IRB has the right to review/comment on the draft report(s) and to make/submit its own report(s) in addition to the Relying Institution’s(s’) report(s).</w:t>
            </w:r>
          </w:p>
          <w:p w14:paraId="4EE5D0A0" w14:textId="77777777" w:rsidR="000B2443" w:rsidRDefault="00830EF3" w:rsidP="00EA7EB7">
            <w:pPr>
              <w:ind w:left="288" w:hanging="288"/>
              <w:rPr>
                <w:b/>
              </w:rPr>
            </w:pPr>
            <w:sdt>
              <w:sdtPr>
                <w:rPr>
                  <w:b/>
                </w:rPr>
                <w:id w:val="-1763524322"/>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3</w:t>
            </w:r>
            <w:r w:rsidR="000B2443" w:rsidRPr="00696251">
              <w:rPr>
                <w:rFonts w:ascii="Calibri" w:eastAsia="Calibri" w:hAnsi="Calibri" w:cs="Calibri"/>
                <w:b/>
              </w:rPr>
              <w:t xml:space="preserve"> </w:t>
            </w:r>
            <w:r w:rsidR="000B2443" w:rsidRPr="00316893">
              <w:t>–</w:t>
            </w:r>
            <w:r w:rsidR="000B2443">
              <w:t xml:space="preserve"> </w:t>
            </w:r>
            <w:r w:rsidR="000B2443">
              <w:rPr>
                <w:b/>
              </w:rPr>
              <w:t>Reviewing IRB and Relying Institution(s) will jointly draft and submit reports to external parties</w:t>
            </w:r>
          </w:p>
          <w:p w14:paraId="61815DAB" w14:textId="77777777" w:rsidR="000B2443" w:rsidRDefault="000B2443" w:rsidP="00EA7EB7">
            <w:pPr>
              <w:ind w:left="270"/>
            </w:pPr>
            <w:r>
              <w:t>The Reviewing IRB and the Relying Institution(s) will jointly</w:t>
            </w:r>
            <w:r w:rsidRPr="005C46FD">
              <w:t xml:space="preserve"> </w:t>
            </w:r>
            <w:r>
              <w:t>draft and submit 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t>ies</w:t>
            </w:r>
            <w:proofErr w:type="spellEnd"/>
            <w:r>
              <w:t xml:space="preserve">). </w:t>
            </w:r>
          </w:p>
          <w:p w14:paraId="2467A5FE" w14:textId="77777777" w:rsidR="000B2443" w:rsidRDefault="00830EF3" w:rsidP="00EA7EB7">
            <w:pPr>
              <w:ind w:left="288" w:hanging="288"/>
              <w:rPr>
                <w:b/>
              </w:rPr>
            </w:pPr>
            <w:sdt>
              <w:sdtPr>
                <w:rPr>
                  <w:b/>
                </w:rPr>
                <w:id w:val="350460882"/>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4</w:t>
            </w:r>
            <w:r w:rsidR="000B2443" w:rsidRPr="00696251">
              <w:rPr>
                <w:rFonts w:ascii="Calibri" w:eastAsia="Calibri" w:hAnsi="Calibri" w:cs="Calibri"/>
                <w:b/>
              </w:rPr>
              <w:t xml:space="preserve"> </w:t>
            </w:r>
            <w:r w:rsidR="000B2443" w:rsidRPr="00316893">
              <w:t>–</w:t>
            </w:r>
            <w:r w:rsidR="000B2443">
              <w:t xml:space="preserve"> </w:t>
            </w:r>
            <w:r w:rsidR="000B2443">
              <w:rPr>
                <w:b/>
              </w:rPr>
              <w:t>Plan for drafting and submission of IRB-initiated external reports will be determined on a case-by-case basis</w:t>
            </w:r>
          </w:p>
          <w:p w14:paraId="46427FB8" w14:textId="77777777" w:rsidR="000B2443" w:rsidRDefault="000B2443" w:rsidP="001B7A23">
            <w:pPr>
              <w:ind w:left="270"/>
            </w:pPr>
            <w:r>
              <w:t>The Reviewing IRB and the Relying Institution(s) will agree upon a plan for the drafting and submission to external parties (e.g., regulatory and funding agencies, sponsors, other oversight authorities) of any reports of unanticipated problems, serious or continuing noncompliance, and suspension or termination of IRB approval that the IRB determines are required in connection with the identified study(</w:t>
            </w:r>
            <w:proofErr w:type="spellStart"/>
            <w:r>
              <w:t>ies</w:t>
            </w:r>
            <w:proofErr w:type="spellEnd"/>
            <w:r>
              <w:t>) on a case-by-case basis and at the time the matter arises.</w:t>
            </w:r>
          </w:p>
          <w:p w14:paraId="7D49CD8F" w14:textId="77777777" w:rsidR="00BB1BAA" w:rsidRDefault="00BB1BAA" w:rsidP="001B7A23">
            <w:pPr>
              <w:ind w:left="270"/>
            </w:pPr>
          </w:p>
          <w:p w14:paraId="61F43A8F" w14:textId="77777777" w:rsidR="00BB1BAA" w:rsidRDefault="00BB1BAA" w:rsidP="001B7A23">
            <w:pPr>
              <w:ind w:left="270"/>
            </w:pPr>
          </w:p>
          <w:p w14:paraId="0E909FF5" w14:textId="77777777" w:rsidR="00BB1BAA" w:rsidRDefault="00BB1BAA" w:rsidP="001B7A23">
            <w:pPr>
              <w:ind w:left="270"/>
            </w:pPr>
          </w:p>
          <w:p w14:paraId="29CF8190" w14:textId="77777777" w:rsidR="00BB1BAA" w:rsidRDefault="00BB1BAA" w:rsidP="001B7A23">
            <w:pPr>
              <w:ind w:left="270"/>
            </w:pPr>
          </w:p>
          <w:p w14:paraId="5399DC50" w14:textId="77777777" w:rsidR="00BB1BAA" w:rsidRDefault="00BB1BAA" w:rsidP="001B7A23">
            <w:pPr>
              <w:ind w:left="270"/>
            </w:pPr>
          </w:p>
          <w:p w14:paraId="78B2778A" w14:textId="18AA2D55" w:rsidR="00BB1BAA" w:rsidRDefault="00BB1BAA" w:rsidP="001B7A23">
            <w:pPr>
              <w:ind w:left="270"/>
              <w:rPr>
                <w:b/>
              </w:rPr>
            </w:pPr>
            <w:bookmarkStart w:id="0" w:name="_GoBack"/>
            <w:bookmarkEnd w:id="0"/>
          </w:p>
        </w:tc>
      </w:tr>
      <w:tr w:rsidR="000B2443" w14:paraId="701A3406" w14:textId="77777777" w:rsidTr="0048143B">
        <w:trPr>
          <w:trHeight w:val="485"/>
        </w:trPr>
        <w:tc>
          <w:tcPr>
            <w:tcW w:w="10838" w:type="dxa"/>
            <w:gridSpan w:val="2"/>
            <w:shd w:val="clear" w:color="auto" w:fill="D9D9D9" w:themeFill="background1" w:themeFillShade="D9"/>
            <w:vAlign w:val="center"/>
          </w:tcPr>
          <w:p w14:paraId="3B4F6674" w14:textId="64FB6A3C" w:rsidR="000B2443" w:rsidRDefault="000B2443" w:rsidP="0048143B">
            <w:pPr>
              <w:spacing w:after="0"/>
              <w:rPr>
                <w:b/>
              </w:rPr>
            </w:pPr>
            <w:r w:rsidRPr="000B2443">
              <w:rPr>
                <w:b/>
              </w:rPr>
              <w:lastRenderedPageBreak/>
              <w:t>Reviewing Institution</w:t>
            </w:r>
          </w:p>
        </w:tc>
      </w:tr>
      <w:tr w:rsidR="000B2443" w14:paraId="22AE4BC6" w14:textId="77777777" w:rsidTr="00BB1BAA">
        <w:trPr>
          <w:trHeight w:val="3990"/>
        </w:trPr>
        <w:tc>
          <w:tcPr>
            <w:tcW w:w="3595" w:type="dxa"/>
            <w:shd w:val="clear" w:color="auto" w:fill="auto"/>
          </w:tcPr>
          <w:p w14:paraId="4342E91D" w14:textId="5D8B61BD" w:rsidR="000B2443" w:rsidRPr="00BC73EF" w:rsidRDefault="000B2443" w:rsidP="00EA7EB7">
            <w:pPr>
              <w:pStyle w:val="ListParagraph"/>
              <w:numPr>
                <w:ilvl w:val="0"/>
                <w:numId w:val="6"/>
              </w:numPr>
              <w:rPr>
                <w:b/>
              </w:rPr>
            </w:pPr>
            <w:r w:rsidRPr="00BC73EF">
              <w:rPr>
                <w:b/>
              </w:rPr>
              <w:t>Financial agreements (for review costs)</w:t>
            </w:r>
          </w:p>
          <w:p w14:paraId="0D9D7229" w14:textId="2942B54F" w:rsidR="000B2443" w:rsidRPr="000B2443" w:rsidRDefault="000B2443" w:rsidP="00EA7EB7">
            <w:pPr>
              <w:ind w:left="360"/>
              <w:rPr>
                <w:b/>
              </w:rPr>
            </w:pPr>
          </w:p>
        </w:tc>
        <w:tc>
          <w:tcPr>
            <w:tcW w:w="7243" w:type="dxa"/>
            <w:shd w:val="clear" w:color="auto" w:fill="auto"/>
          </w:tcPr>
          <w:p w14:paraId="2F80DCEF" w14:textId="7FDEF4B7" w:rsidR="000B2443" w:rsidRDefault="00830EF3" w:rsidP="001B7A23">
            <w:pPr>
              <w:ind w:left="270" w:hanging="270"/>
              <w:rPr>
                <w:rFonts w:ascii="Calibri" w:eastAsia="Calibri" w:hAnsi="Calibri" w:cs="Calibri"/>
              </w:rPr>
            </w:pPr>
            <w:sdt>
              <w:sdtPr>
                <w:rPr>
                  <w:b/>
                </w:rPr>
                <w:id w:val="1761403739"/>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0B2443" w:rsidRPr="00883C63">
              <w:t xml:space="preserve"> </w:t>
            </w:r>
            <w:r w:rsidR="000B2443" w:rsidRPr="00696251">
              <w:rPr>
                <w:rFonts w:ascii="Calibri" w:eastAsia="Calibri" w:hAnsi="Calibri" w:cs="Calibri"/>
                <w:b/>
              </w:rPr>
              <w:t xml:space="preserve">OPTION 1 – </w:t>
            </w:r>
            <w:r w:rsidR="000B2443">
              <w:rPr>
                <w:rFonts w:ascii="Calibri" w:eastAsia="Calibri" w:hAnsi="Calibri" w:cs="Calibri"/>
                <w:b/>
              </w:rPr>
              <w:t>Reviewing IRB/Institution will not charge Relying Institution(s) for costs of review</w:t>
            </w:r>
          </w:p>
          <w:p w14:paraId="7DA894C9" w14:textId="77777777" w:rsidR="000B2443" w:rsidRDefault="000B2443" w:rsidP="00EA7EB7">
            <w:pPr>
              <w:ind w:left="270"/>
              <w:rPr>
                <w:rFonts w:ascii="Calibri" w:eastAsia="Calibri" w:hAnsi="Calibri" w:cs="Calibri"/>
              </w:rPr>
            </w:pPr>
            <w:r>
              <w:rPr>
                <w:rFonts w:ascii="Calibri" w:eastAsia="Calibri" w:hAnsi="Calibri" w:cs="Calibri"/>
              </w:rPr>
              <w:t>The Relying Institution(s) will not be responsible for financial support of the costs of review of the identified study(</w:t>
            </w:r>
            <w:proofErr w:type="spellStart"/>
            <w:r>
              <w:rPr>
                <w:rFonts w:ascii="Calibri" w:eastAsia="Calibri" w:hAnsi="Calibri" w:cs="Calibri"/>
              </w:rPr>
              <w:t>ies</w:t>
            </w:r>
            <w:proofErr w:type="spellEnd"/>
            <w:r>
              <w:rPr>
                <w:rFonts w:ascii="Calibri" w:eastAsia="Calibri" w:hAnsi="Calibri" w:cs="Calibri"/>
              </w:rPr>
              <w:t>). The Reviewing IRB may charge the sponsor or other third parties for those costs.</w:t>
            </w:r>
          </w:p>
          <w:p w14:paraId="6C640328" w14:textId="77777777" w:rsidR="000B2443" w:rsidRDefault="00830EF3" w:rsidP="001B7A23">
            <w:pPr>
              <w:ind w:left="270" w:hanging="270"/>
              <w:rPr>
                <w:rFonts w:ascii="Calibri" w:eastAsia="Calibri" w:hAnsi="Calibri" w:cs="Calibri"/>
              </w:rPr>
            </w:pPr>
            <w:sdt>
              <w:sdtPr>
                <w:rPr>
                  <w:b/>
                </w:rPr>
                <w:id w:val="-1859645645"/>
                <w14:checkbox>
                  <w14:checked w14:val="0"/>
                  <w14:checkedState w14:val="2612" w14:font="MS Gothic"/>
                  <w14:uncheckedState w14:val="2610" w14:font="MS Gothic"/>
                </w14:checkbox>
              </w:sdtPr>
              <w:sdtEndPr/>
              <w:sdtContent>
                <w:r w:rsidR="000B2443">
                  <w:rPr>
                    <w:rFonts w:ascii="MS Gothic" w:eastAsia="MS Gothic" w:hAnsi="MS Gothic" w:hint="eastAsia"/>
                    <w:b/>
                  </w:rPr>
                  <w:t>☐</w:t>
                </w:r>
              </w:sdtContent>
            </w:sdt>
            <w:r w:rsidR="000B2443" w:rsidRPr="00883C63">
              <w:t xml:space="preserve"> </w:t>
            </w:r>
            <w:r w:rsidR="000B2443">
              <w:rPr>
                <w:rFonts w:ascii="Calibri" w:eastAsia="Calibri" w:hAnsi="Calibri" w:cs="Calibri"/>
                <w:b/>
              </w:rPr>
              <w:t>OPTION 2 – Reviewing IRB/Institution will charge the Relying Institution(s) for costs of review</w:t>
            </w:r>
          </w:p>
          <w:p w14:paraId="2FA3317D" w14:textId="53DA07B9" w:rsidR="000B2443" w:rsidRPr="000B2443" w:rsidRDefault="000B2443" w:rsidP="001B7A23">
            <w:pPr>
              <w:ind w:left="270"/>
              <w:rPr>
                <w:b/>
              </w:rPr>
            </w:pPr>
            <w:r>
              <w:rPr>
                <w:rFonts w:ascii="Calibri" w:eastAsia="Calibri" w:hAnsi="Calibri" w:cs="Calibri"/>
              </w:rPr>
              <w:t>The Reviewing IRB and the Relying Institution(s) will enter a separate agreement or agreements under which the Relying Institution(s) will provide financial support to the Reviewing IRB for the costs of review of the identified study(</w:t>
            </w:r>
            <w:proofErr w:type="spellStart"/>
            <w:r>
              <w:rPr>
                <w:rFonts w:ascii="Calibri" w:eastAsia="Calibri" w:hAnsi="Calibri" w:cs="Calibri"/>
              </w:rPr>
              <w:t>ies</w:t>
            </w:r>
            <w:proofErr w:type="spellEnd"/>
            <w:r>
              <w:rPr>
                <w:rFonts w:ascii="Calibri" w:eastAsia="Calibri" w:hAnsi="Calibri" w:cs="Calibri"/>
              </w:rPr>
              <w:t>).</w:t>
            </w:r>
          </w:p>
        </w:tc>
      </w:tr>
      <w:tr w:rsidR="0014734B" w14:paraId="71358356" w14:textId="77777777" w:rsidTr="00BB1BAA">
        <w:trPr>
          <w:trHeight w:val="4053"/>
        </w:trPr>
        <w:tc>
          <w:tcPr>
            <w:tcW w:w="3595" w:type="dxa"/>
            <w:shd w:val="clear" w:color="auto" w:fill="auto"/>
          </w:tcPr>
          <w:p w14:paraId="6CE1C205" w14:textId="77777777" w:rsidR="0014734B" w:rsidRPr="00BC73EF" w:rsidRDefault="0014734B" w:rsidP="00EA7EB7">
            <w:pPr>
              <w:pStyle w:val="ListParagraph"/>
              <w:numPr>
                <w:ilvl w:val="0"/>
                <w:numId w:val="6"/>
              </w:numPr>
              <w:rPr>
                <w:b/>
              </w:rPr>
            </w:pPr>
            <w:r w:rsidRPr="00BC73EF">
              <w:rPr>
                <w:b/>
              </w:rPr>
              <w:t>Quality assurance/quality improvement (“QA/QI”) function/program</w:t>
            </w:r>
          </w:p>
          <w:p w14:paraId="45E6DFAD" w14:textId="1BA7D040" w:rsidR="0014734B" w:rsidRPr="0014734B" w:rsidRDefault="0014734B" w:rsidP="00EA7EB7">
            <w:pPr>
              <w:ind w:left="360"/>
              <w:rPr>
                <w:b/>
              </w:rPr>
            </w:pPr>
          </w:p>
        </w:tc>
        <w:tc>
          <w:tcPr>
            <w:tcW w:w="7243" w:type="dxa"/>
            <w:shd w:val="clear" w:color="auto" w:fill="auto"/>
          </w:tcPr>
          <w:p w14:paraId="67E30123" w14:textId="041006E9" w:rsidR="0014734B" w:rsidRDefault="00830EF3" w:rsidP="001B7A23">
            <w:pPr>
              <w:pStyle w:val="ListParagraph"/>
              <w:ind w:left="0"/>
              <w:contextualSpacing w:val="0"/>
              <w:rPr>
                <w:rFonts w:ascii="Calibri" w:eastAsia="Calibri" w:hAnsi="Calibri" w:cs="Calibri"/>
              </w:rPr>
            </w:pPr>
            <w:sdt>
              <w:sdtPr>
                <w:rPr>
                  <w:b/>
                </w:rPr>
                <w:id w:val="-162707120"/>
                <w14:checkbox>
                  <w14:checked w14:val="0"/>
                  <w14:checkedState w14:val="2612" w14:font="MS Gothic"/>
                  <w14:uncheckedState w14:val="2610" w14:font="MS Gothic"/>
                </w14:checkbox>
              </w:sdtPr>
              <w:sdtEndPr/>
              <w:sdtContent>
                <w:r w:rsidR="008E353D">
                  <w:rPr>
                    <w:rFonts w:ascii="MS Gothic" w:eastAsia="MS Gothic" w:hAnsi="MS Gothic" w:hint="eastAsia"/>
                    <w:b/>
                  </w:rPr>
                  <w:t>☐</w:t>
                </w:r>
              </w:sdtContent>
            </w:sdt>
            <w:r w:rsidR="0014734B" w:rsidRPr="00883C63">
              <w:t xml:space="preserve"> </w:t>
            </w:r>
            <w:r w:rsidR="0014734B">
              <w:rPr>
                <w:rFonts w:ascii="Calibri" w:eastAsia="Calibri" w:hAnsi="Calibri" w:cs="Calibri"/>
                <w:b/>
              </w:rPr>
              <w:t xml:space="preserve">OPTION </w:t>
            </w:r>
            <w:r w:rsidR="0014734B" w:rsidRPr="00BC1F4B">
              <w:rPr>
                <w:rFonts w:ascii="Calibri" w:eastAsia="Calibri" w:hAnsi="Calibri" w:cs="Calibri"/>
                <w:b/>
              </w:rPr>
              <w:t>1</w:t>
            </w:r>
            <w:r w:rsidR="0014734B" w:rsidRPr="00BC1F4B">
              <w:rPr>
                <w:rFonts w:ascii="Calibri" w:eastAsia="Calibri" w:hAnsi="Calibri" w:cs="Calibri"/>
              </w:rPr>
              <w:t xml:space="preserve"> – </w:t>
            </w:r>
            <w:r w:rsidR="0014734B">
              <w:rPr>
                <w:rFonts w:ascii="Calibri" w:eastAsia="Calibri" w:hAnsi="Calibri" w:cs="Calibri"/>
                <w:b/>
              </w:rPr>
              <w:t>QA/QI program access r</w:t>
            </w:r>
            <w:r w:rsidR="0014734B" w:rsidRPr="00BC1F4B">
              <w:rPr>
                <w:rFonts w:ascii="Calibri" w:eastAsia="Calibri" w:hAnsi="Calibri" w:cs="Calibri"/>
                <w:b/>
              </w:rPr>
              <w:t>equired</w:t>
            </w:r>
          </w:p>
          <w:p w14:paraId="0AAF9926" w14:textId="77777777" w:rsidR="0014734B" w:rsidRDefault="0014734B" w:rsidP="001B7A23">
            <w:pPr>
              <w:pStyle w:val="ListParagraph"/>
              <w:ind w:left="274"/>
              <w:contextualSpacing w:val="0"/>
              <w:rPr>
                <w:rFonts w:ascii="Calibri" w:eastAsia="Calibri" w:hAnsi="Calibri" w:cs="Calibri"/>
                <w:color w:val="000000" w:themeColor="text1"/>
              </w:rPr>
            </w:pPr>
            <w:r>
              <w:rPr>
                <w:rFonts w:ascii="Calibri" w:eastAsia="Calibri" w:hAnsi="Calibri" w:cs="Calibri"/>
              </w:rPr>
              <w:t>Each Participating Institution engaged in or conducting the identified study(</w:t>
            </w:r>
            <w:proofErr w:type="spellStart"/>
            <w:r>
              <w:rPr>
                <w:rFonts w:ascii="Calibri" w:eastAsia="Calibri" w:hAnsi="Calibri" w:cs="Calibri"/>
              </w:rPr>
              <w:t>ies</w:t>
            </w:r>
            <w:proofErr w:type="spellEnd"/>
            <w:r>
              <w:rPr>
                <w:rFonts w:ascii="Calibri" w:eastAsia="Calibri" w:hAnsi="Calibri" w:cs="Calibri"/>
              </w:rPr>
              <w:t>) must have or have</w:t>
            </w:r>
            <w:r w:rsidRPr="6BDDDBD7">
              <w:rPr>
                <w:rFonts w:ascii="Calibri" w:eastAsia="Calibri" w:hAnsi="Calibri" w:cs="Calibri"/>
              </w:rPr>
              <w:t xml:space="preserve"> access to a </w:t>
            </w:r>
            <w:r w:rsidRPr="6BDDDBD7">
              <w:rPr>
                <w:rFonts w:ascii="Calibri" w:eastAsia="Calibri" w:hAnsi="Calibri" w:cs="Calibri"/>
                <w:color w:val="000000" w:themeColor="text1"/>
              </w:rPr>
              <w:t xml:space="preserve">human subjects research QA/QI program or service </w:t>
            </w:r>
            <w:r>
              <w:rPr>
                <w:rFonts w:ascii="Calibri" w:eastAsia="Calibri" w:hAnsi="Calibri" w:cs="Calibri"/>
                <w:color w:val="000000" w:themeColor="text1"/>
              </w:rPr>
              <w:t xml:space="preserve">(or an alternate means of monitoring) </w:t>
            </w:r>
            <w:r w:rsidRPr="6BDDDBD7">
              <w:rPr>
                <w:rFonts w:ascii="Calibri" w:eastAsia="Calibri" w:hAnsi="Calibri" w:cs="Calibri"/>
                <w:color w:val="000000" w:themeColor="text1"/>
              </w:rPr>
              <w:t xml:space="preserve">that can conduct and report to </w:t>
            </w:r>
            <w:r>
              <w:rPr>
                <w:rFonts w:ascii="Calibri" w:eastAsia="Calibri" w:hAnsi="Calibri" w:cs="Calibri"/>
                <w:color w:val="000000" w:themeColor="text1"/>
              </w:rPr>
              <w:t>that institution</w:t>
            </w:r>
            <w:r w:rsidRPr="6BDDDBD7">
              <w:rPr>
                <w:rFonts w:ascii="Calibri" w:eastAsia="Calibri" w:hAnsi="Calibri" w:cs="Calibri"/>
                <w:color w:val="000000" w:themeColor="text1"/>
              </w:rPr>
              <w:t xml:space="preserve"> the results of for-cause and not-for-cause audit</w:t>
            </w:r>
            <w:r>
              <w:rPr>
                <w:rFonts w:ascii="Calibri" w:eastAsia="Calibri" w:hAnsi="Calibri" w:cs="Calibri"/>
                <w:color w:val="000000" w:themeColor="text1"/>
              </w:rPr>
              <w:t>s of the institution’s and its Research P</w:t>
            </w:r>
            <w:r w:rsidRPr="6BDDDBD7">
              <w:rPr>
                <w:rFonts w:ascii="Calibri" w:eastAsia="Calibri" w:hAnsi="Calibri" w:cs="Calibri"/>
                <w:color w:val="000000" w:themeColor="text1"/>
              </w:rPr>
              <w:t>ersonnel’s compliance with human subjects protections and other relevant requirements.</w:t>
            </w:r>
            <w:r>
              <w:rPr>
                <w:rFonts w:ascii="Calibri" w:eastAsia="Calibri" w:hAnsi="Calibri" w:cs="Calibri"/>
                <w:color w:val="000000" w:themeColor="text1"/>
              </w:rPr>
              <w:t xml:space="preserve"> </w:t>
            </w:r>
          </w:p>
          <w:p w14:paraId="5AFA296E" w14:textId="77777777" w:rsidR="0014734B" w:rsidRDefault="00830EF3" w:rsidP="00EA7EB7">
            <w:pPr>
              <w:pStyle w:val="ListParagraph"/>
              <w:ind w:left="0"/>
              <w:rPr>
                <w:rFonts w:ascii="Calibri" w:eastAsia="Calibri" w:hAnsi="Calibri" w:cs="Calibri"/>
              </w:rPr>
            </w:pPr>
            <w:sdt>
              <w:sdtPr>
                <w:rPr>
                  <w:b/>
                </w:rPr>
                <w:id w:val="-388102763"/>
                <w14:checkbox>
                  <w14:checked w14:val="0"/>
                  <w14:checkedState w14:val="2612" w14:font="MS Gothic"/>
                  <w14:uncheckedState w14:val="2610" w14:font="MS Gothic"/>
                </w14:checkbox>
              </w:sdtPr>
              <w:sdtEndPr/>
              <w:sdtContent>
                <w:r w:rsidR="0014734B">
                  <w:rPr>
                    <w:rFonts w:ascii="MS Gothic" w:eastAsia="MS Gothic" w:hAnsi="MS Gothic" w:hint="eastAsia"/>
                    <w:b/>
                  </w:rPr>
                  <w:t>☐</w:t>
                </w:r>
              </w:sdtContent>
            </w:sdt>
            <w:r w:rsidR="0014734B" w:rsidRPr="00883C63">
              <w:t xml:space="preserve"> </w:t>
            </w:r>
            <w:r w:rsidR="0014734B">
              <w:rPr>
                <w:rFonts w:ascii="Calibri" w:eastAsia="Calibri" w:hAnsi="Calibri" w:cs="Calibri"/>
                <w:b/>
              </w:rPr>
              <w:t>OPTION 2</w:t>
            </w:r>
            <w:r w:rsidR="0014734B" w:rsidRPr="00BC1F4B">
              <w:rPr>
                <w:rFonts w:ascii="Calibri" w:eastAsia="Calibri" w:hAnsi="Calibri" w:cs="Calibri"/>
                <w:b/>
              </w:rPr>
              <w:t xml:space="preserve"> </w:t>
            </w:r>
            <w:r w:rsidR="0014734B">
              <w:rPr>
                <w:rFonts w:ascii="Calibri" w:eastAsia="Calibri" w:hAnsi="Calibri" w:cs="Calibri"/>
              </w:rPr>
              <w:t>–</w:t>
            </w:r>
            <w:r w:rsidR="0014734B" w:rsidRPr="00BC1F4B">
              <w:rPr>
                <w:rFonts w:ascii="Calibri" w:eastAsia="Calibri" w:hAnsi="Calibri" w:cs="Calibri"/>
              </w:rPr>
              <w:t xml:space="preserve"> </w:t>
            </w:r>
            <w:r w:rsidR="0014734B" w:rsidRPr="00BC1F4B">
              <w:rPr>
                <w:rFonts w:ascii="Calibri" w:eastAsia="Calibri" w:hAnsi="Calibri" w:cs="Calibri"/>
                <w:b/>
              </w:rPr>
              <w:t xml:space="preserve">QA/QI </w:t>
            </w:r>
            <w:r w:rsidR="0014734B">
              <w:rPr>
                <w:rFonts w:ascii="Calibri" w:eastAsia="Calibri" w:hAnsi="Calibri" w:cs="Calibri"/>
                <w:b/>
              </w:rPr>
              <w:t>p</w:t>
            </w:r>
            <w:r w:rsidR="0014734B" w:rsidRPr="00BC1F4B">
              <w:rPr>
                <w:rFonts w:ascii="Calibri" w:eastAsia="Calibri" w:hAnsi="Calibri" w:cs="Calibri"/>
                <w:b/>
              </w:rPr>
              <w:t xml:space="preserve">rogram </w:t>
            </w:r>
            <w:r w:rsidR="0014734B">
              <w:rPr>
                <w:rFonts w:ascii="Calibri" w:eastAsia="Calibri" w:hAnsi="Calibri" w:cs="Calibri"/>
                <w:b/>
              </w:rPr>
              <w:t>a</w:t>
            </w:r>
            <w:r w:rsidR="0014734B" w:rsidRPr="00BC1F4B">
              <w:rPr>
                <w:rFonts w:ascii="Calibri" w:eastAsia="Calibri" w:hAnsi="Calibri" w:cs="Calibri"/>
                <w:b/>
              </w:rPr>
              <w:t xml:space="preserve">ccess </w:t>
            </w:r>
            <w:r w:rsidR="0014734B">
              <w:rPr>
                <w:rFonts w:ascii="Calibri" w:eastAsia="Calibri" w:hAnsi="Calibri" w:cs="Calibri"/>
                <w:b/>
              </w:rPr>
              <w:t>n</w:t>
            </w:r>
            <w:r w:rsidR="0014734B" w:rsidRPr="00BC1F4B">
              <w:rPr>
                <w:rFonts w:ascii="Calibri" w:eastAsia="Calibri" w:hAnsi="Calibri" w:cs="Calibri"/>
                <w:b/>
              </w:rPr>
              <w:t xml:space="preserve">ot </w:t>
            </w:r>
            <w:r w:rsidR="0014734B">
              <w:rPr>
                <w:rFonts w:ascii="Calibri" w:eastAsia="Calibri" w:hAnsi="Calibri" w:cs="Calibri"/>
                <w:b/>
              </w:rPr>
              <w:t>r</w:t>
            </w:r>
            <w:r w:rsidR="0014734B" w:rsidRPr="00BC1F4B">
              <w:rPr>
                <w:rFonts w:ascii="Calibri" w:eastAsia="Calibri" w:hAnsi="Calibri" w:cs="Calibri"/>
                <w:b/>
              </w:rPr>
              <w:t>equired</w:t>
            </w:r>
          </w:p>
          <w:p w14:paraId="451FD4DA" w14:textId="4A1447B0" w:rsidR="0014734B" w:rsidRDefault="0014734B" w:rsidP="001B7A23">
            <w:pPr>
              <w:ind w:left="270"/>
              <w:rPr>
                <w:b/>
              </w:rPr>
            </w:pPr>
            <w:r>
              <w:rPr>
                <w:rFonts w:ascii="Calibri" w:eastAsia="Calibri" w:hAnsi="Calibri" w:cs="Calibri"/>
              </w:rPr>
              <w:t>Participating Institutions engaged in or conducting the identified study(</w:t>
            </w:r>
            <w:proofErr w:type="spellStart"/>
            <w:r>
              <w:rPr>
                <w:rFonts w:ascii="Calibri" w:eastAsia="Calibri" w:hAnsi="Calibri" w:cs="Calibri"/>
              </w:rPr>
              <w:t>ies</w:t>
            </w:r>
            <w:proofErr w:type="spellEnd"/>
            <w:r>
              <w:rPr>
                <w:rFonts w:ascii="Calibri" w:eastAsia="Calibri" w:hAnsi="Calibri" w:cs="Calibri"/>
              </w:rPr>
              <w:t xml:space="preserve">) are not required to have or have </w:t>
            </w:r>
            <w:r w:rsidRPr="6BDDDBD7">
              <w:rPr>
                <w:rFonts w:ascii="Calibri" w:eastAsia="Calibri" w:hAnsi="Calibri" w:cs="Calibri"/>
              </w:rPr>
              <w:t xml:space="preserve">access to a </w:t>
            </w:r>
            <w:r w:rsidRPr="6BDDDBD7">
              <w:rPr>
                <w:rFonts w:ascii="Calibri" w:eastAsia="Calibri" w:hAnsi="Calibri" w:cs="Calibri"/>
                <w:color w:val="000000" w:themeColor="text1"/>
              </w:rPr>
              <w:t>human subjects research QA/QI program or service.</w:t>
            </w:r>
          </w:p>
        </w:tc>
      </w:tr>
    </w:tbl>
    <w:p w14:paraId="6ACA4499" w14:textId="77777777" w:rsidR="00AB0750" w:rsidRDefault="00AB0750" w:rsidP="00EA7EB7"/>
    <w:sectPr w:rsidR="00AB0750" w:rsidSect="00BB1BAA">
      <w:footerReference w:type="default" r:id="rId9"/>
      <w:pgSz w:w="12240" w:h="15840"/>
      <w:pgMar w:top="1440" w:right="720" w:bottom="720" w:left="720" w:header="6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67DF" w14:textId="77777777" w:rsidR="00830EF3" w:rsidRDefault="00830EF3" w:rsidP="00BE1911">
      <w:pPr>
        <w:spacing w:after="0" w:line="240" w:lineRule="auto"/>
      </w:pPr>
      <w:r>
        <w:separator/>
      </w:r>
    </w:p>
  </w:endnote>
  <w:endnote w:type="continuationSeparator" w:id="0">
    <w:p w14:paraId="087E28C2" w14:textId="77777777" w:rsidR="00830EF3" w:rsidRDefault="00830EF3"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charset w:val="00"/>
    <w:family w:val="swiss"/>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BAE2" w14:textId="565192EE" w:rsidR="002C1E96" w:rsidRDefault="002C1E96" w:rsidP="002C1E96">
    <w:pPr>
      <w:spacing w:before="4" w:line="244" w:lineRule="auto"/>
      <w:ind w:left="56" w:hanging="37"/>
      <w:rPr>
        <w:i/>
        <w:color w:val="58595B"/>
        <w:sz w:val="16"/>
      </w:rPr>
    </w:pPr>
    <w:r w:rsidRPr="006E174E">
      <w:rPr>
        <w:i/>
        <w:color w:val="58595B"/>
        <w:sz w:val="16"/>
      </w:rPr>
      <w:t>This</w:t>
    </w:r>
    <w:r w:rsidRPr="006E174E">
      <w:rPr>
        <w:i/>
        <w:color w:val="58595B"/>
        <w:spacing w:val="-4"/>
        <w:sz w:val="16"/>
      </w:rPr>
      <w:t xml:space="preserve"> </w:t>
    </w:r>
    <w:r w:rsidRPr="006E174E">
      <w:rPr>
        <w:i/>
        <w:color w:val="58595B"/>
        <w:sz w:val="16"/>
      </w:rPr>
      <w:t>information</w:t>
    </w:r>
    <w:r w:rsidRPr="006E174E">
      <w:rPr>
        <w:i/>
        <w:color w:val="58595B"/>
        <w:spacing w:val="-4"/>
        <w:sz w:val="16"/>
      </w:rPr>
      <w:t xml:space="preserve"> </w:t>
    </w:r>
    <w:r w:rsidRPr="006E174E">
      <w:rPr>
        <w:i/>
        <w:color w:val="58595B"/>
        <w:sz w:val="16"/>
      </w:rPr>
      <w:t>was</w:t>
    </w:r>
    <w:r w:rsidRPr="006E174E">
      <w:rPr>
        <w:i/>
        <w:color w:val="58595B"/>
        <w:spacing w:val="-4"/>
        <w:sz w:val="16"/>
      </w:rPr>
      <w:t xml:space="preserve"> </w:t>
    </w:r>
    <w:r w:rsidRPr="006E174E">
      <w:rPr>
        <w:i/>
        <w:color w:val="58595B"/>
        <w:sz w:val="16"/>
      </w:rPr>
      <w:t>obtained</w:t>
    </w:r>
    <w:r w:rsidRPr="006E174E">
      <w:rPr>
        <w:i/>
        <w:color w:val="58595B"/>
        <w:spacing w:val="-4"/>
        <w:sz w:val="16"/>
      </w:rPr>
      <w:t xml:space="preserve"> </w:t>
    </w:r>
    <w:r w:rsidRPr="006E174E">
      <w:rPr>
        <w:i/>
        <w:color w:val="58595B"/>
        <w:sz w:val="16"/>
      </w:rPr>
      <w:t>from</w:t>
    </w:r>
    <w:r w:rsidRPr="006E174E">
      <w:rPr>
        <w:i/>
        <w:color w:val="58595B"/>
        <w:spacing w:val="-4"/>
        <w:sz w:val="16"/>
      </w:rPr>
      <w:t xml:space="preserve"> </w:t>
    </w:r>
    <w:r w:rsidRPr="002C1E96">
      <w:rPr>
        <w:i/>
        <w:color w:val="58595B"/>
        <w:sz w:val="16"/>
      </w:rPr>
      <w:t>SMART IRB Agreement Implementation Checklist and Documentation Tool</w:t>
    </w:r>
    <w:r>
      <w:rPr>
        <w:i/>
        <w:color w:val="58595B"/>
        <w:sz w:val="16"/>
      </w:rPr>
      <w:t xml:space="preserve"> </w:t>
    </w:r>
    <w:r w:rsidRPr="006E174E">
      <w:rPr>
        <w:i/>
        <w:color w:val="58595B"/>
        <w:sz w:val="16"/>
      </w:rPr>
      <w:t>as</w:t>
    </w:r>
    <w:r w:rsidRPr="006E174E">
      <w:rPr>
        <w:i/>
        <w:color w:val="58595B"/>
        <w:spacing w:val="-4"/>
        <w:sz w:val="16"/>
      </w:rPr>
      <w:t xml:space="preserve"> </w:t>
    </w:r>
    <w:r w:rsidRPr="006E174E">
      <w:rPr>
        <w:i/>
        <w:color w:val="58595B"/>
        <w:sz w:val="16"/>
      </w:rPr>
      <w:t>part</w:t>
    </w:r>
    <w:r w:rsidRPr="006E174E">
      <w:rPr>
        <w:i/>
        <w:color w:val="58595B"/>
        <w:spacing w:val="-4"/>
        <w:sz w:val="16"/>
      </w:rPr>
      <w:t xml:space="preserve"> </w:t>
    </w:r>
    <w:r w:rsidRPr="006E174E">
      <w:rPr>
        <w:i/>
        <w:color w:val="58595B"/>
        <w:sz w:val="16"/>
      </w:rPr>
      <w:t>of</w:t>
    </w:r>
    <w:r w:rsidRPr="006E174E">
      <w:rPr>
        <w:i/>
        <w:color w:val="58595B"/>
        <w:spacing w:val="-4"/>
        <w:sz w:val="16"/>
      </w:rPr>
      <w:t xml:space="preserve"> </w:t>
    </w:r>
    <w:r w:rsidRPr="006E174E">
      <w:rPr>
        <w:i/>
        <w:color w:val="58595B"/>
        <w:sz w:val="16"/>
      </w:rPr>
      <w:t>SMART</w:t>
    </w:r>
    <w:r w:rsidRPr="006E174E">
      <w:rPr>
        <w:i/>
        <w:color w:val="58595B"/>
        <w:spacing w:val="-4"/>
        <w:sz w:val="16"/>
      </w:rPr>
      <w:t xml:space="preserve"> </w:t>
    </w:r>
    <w:r w:rsidRPr="006E174E">
      <w:rPr>
        <w:i/>
        <w:color w:val="58595B"/>
        <w:sz w:val="16"/>
      </w:rPr>
      <w:t>IRB,</w:t>
    </w:r>
    <w:r w:rsidRPr="006E174E">
      <w:rPr>
        <w:i/>
        <w:color w:val="58595B"/>
        <w:spacing w:val="-4"/>
        <w:sz w:val="16"/>
      </w:rPr>
      <w:t xml:space="preserve"> </w:t>
    </w:r>
    <w:r w:rsidRPr="006E174E">
      <w:rPr>
        <w:i/>
        <w:color w:val="58595B"/>
        <w:sz w:val="16"/>
      </w:rPr>
      <w:t>which</w:t>
    </w:r>
    <w:r w:rsidRPr="006E174E">
      <w:rPr>
        <w:i/>
        <w:color w:val="58595B"/>
        <w:spacing w:val="-4"/>
        <w:sz w:val="16"/>
      </w:rPr>
      <w:t xml:space="preserve"> </w:t>
    </w:r>
    <w:r w:rsidRPr="006E174E">
      <w:rPr>
        <w:i/>
        <w:color w:val="58595B"/>
        <w:sz w:val="16"/>
      </w:rPr>
      <w:t>is</w:t>
    </w:r>
    <w:r w:rsidRPr="006E174E">
      <w:rPr>
        <w:i/>
        <w:color w:val="58595B"/>
        <w:spacing w:val="-4"/>
        <w:sz w:val="16"/>
      </w:rPr>
      <w:t xml:space="preserve"> </w:t>
    </w:r>
    <w:r w:rsidRPr="006E174E">
      <w:rPr>
        <w:i/>
        <w:color w:val="58595B"/>
        <w:sz w:val="16"/>
      </w:rPr>
      <w:t>funded</w:t>
    </w:r>
    <w:r w:rsidRPr="006E174E">
      <w:rPr>
        <w:i/>
        <w:color w:val="58595B"/>
        <w:spacing w:val="-4"/>
        <w:sz w:val="16"/>
      </w:rPr>
      <w:t xml:space="preserve"> </w:t>
    </w:r>
    <w:r w:rsidRPr="006E174E">
      <w:rPr>
        <w:i/>
        <w:color w:val="58595B"/>
        <w:sz w:val="16"/>
      </w:rPr>
      <w:t>by</w:t>
    </w:r>
    <w:r w:rsidRPr="006E174E">
      <w:rPr>
        <w:i/>
        <w:color w:val="58595B"/>
        <w:spacing w:val="-4"/>
        <w:sz w:val="16"/>
      </w:rPr>
      <w:t xml:space="preserve"> </w:t>
    </w:r>
    <w:r w:rsidRPr="006E174E">
      <w:rPr>
        <w:i/>
        <w:color w:val="58595B"/>
        <w:sz w:val="16"/>
      </w:rPr>
      <w:t>the</w:t>
    </w:r>
    <w:r w:rsidRPr="006E174E">
      <w:rPr>
        <w:i/>
        <w:color w:val="58595B"/>
        <w:spacing w:val="-4"/>
        <w:sz w:val="16"/>
      </w:rPr>
      <w:t xml:space="preserve"> </w:t>
    </w:r>
    <w:r w:rsidRPr="006E174E">
      <w:rPr>
        <w:i/>
        <w:color w:val="58595B"/>
        <w:sz w:val="16"/>
      </w:rPr>
      <w:t>NIH</w:t>
    </w:r>
    <w:r w:rsidRPr="006E174E">
      <w:rPr>
        <w:i/>
        <w:color w:val="58595B"/>
        <w:spacing w:val="-4"/>
        <w:sz w:val="16"/>
      </w:rPr>
      <w:t xml:space="preserve"> </w:t>
    </w:r>
    <w:r w:rsidRPr="006E174E">
      <w:rPr>
        <w:i/>
        <w:color w:val="58595B"/>
        <w:sz w:val="16"/>
      </w:rPr>
      <w:t>National</w:t>
    </w:r>
    <w:r w:rsidRPr="006E174E">
      <w:rPr>
        <w:i/>
        <w:color w:val="58595B"/>
        <w:spacing w:val="-4"/>
        <w:sz w:val="16"/>
      </w:rPr>
      <w:t xml:space="preserve"> </w:t>
    </w:r>
    <w:r w:rsidRPr="006E174E">
      <w:rPr>
        <w:i/>
        <w:color w:val="58595B"/>
        <w:sz w:val="16"/>
      </w:rPr>
      <w:t>Center</w:t>
    </w:r>
    <w:r w:rsidRPr="006E174E">
      <w:rPr>
        <w:i/>
        <w:color w:val="58595B"/>
        <w:spacing w:val="-4"/>
        <w:sz w:val="16"/>
      </w:rPr>
      <w:t xml:space="preserve"> </w:t>
    </w:r>
    <w:r w:rsidRPr="006E174E">
      <w:rPr>
        <w:i/>
        <w:color w:val="58595B"/>
        <w:sz w:val="16"/>
      </w:rPr>
      <w:t>for</w:t>
    </w:r>
    <w:r w:rsidRPr="006E174E">
      <w:rPr>
        <w:i/>
        <w:color w:val="58595B"/>
        <w:spacing w:val="-4"/>
        <w:sz w:val="16"/>
      </w:rPr>
      <w:t xml:space="preserve"> </w:t>
    </w:r>
    <w:r w:rsidRPr="006E174E">
      <w:rPr>
        <w:i/>
        <w:color w:val="58595B"/>
        <w:sz w:val="16"/>
      </w:rPr>
      <w:t>Advancing Translational</w:t>
    </w:r>
    <w:r w:rsidRPr="006E174E">
      <w:rPr>
        <w:i/>
        <w:color w:val="58595B"/>
        <w:spacing w:val="-5"/>
        <w:sz w:val="16"/>
      </w:rPr>
      <w:t xml:space="preserve"> </w:t>
    </w:r>
    <w:r w:rsidRPr="006E174E">
      <w:rPr>
        <w:i/>
        <w:color w:val="58595B"/>
        <w:sz w:val="16"/>
      </w:rPr>
      <w:t>Sciences</w:t>
    </w:r>
    <w:r w:rsidRPr="006E174E">
      <w:rPr>
        <w:i/>
        <w:color w:val="58595B"/>
        <w:spacing w:val="-5"/>
        <w:sz w:val="16"/>
      </w:rPr>
      <w:t xml:space="preserve"> </w:t>
    </w:r>
    <w:r w:rsidRPr="006E174E">
      <w:rPr>
        <w:i/>
        <w:color w:val="58595B"/>
        <w:sz w:val="16"/>
      </w:rPr>
      <w:t>through</w:t>
    </w:r>
    <w:r w:rsidRPr="006E174E">
      <w:rPr>
        <w:i/>
        <w:color w:val="58595B"/>
        <w:spacing w:val="-5"/>
        <w:sz w:val="16"/>
      </w:rPr>
      <w:t xml:space="preserve"> </w:t>
    </w:r>
    <w:r w:rsidRPr="006E174E">
      <w:rPr>
        <w:i/>
        <w:color w:val="58595B"/>
        <w:sz w:val="16"/>
      </w:rPr>
      <w:t>its</w:t>
    </w:r>
    <w:r w:rsidRPr="006E174E">
      <w:rPr>
        <w:i/>
        <w:color w:val="58595B"/>
        <w:spacing w:val="-5"/>
        <w:sz w:val="16"/>
      </w:rPr>
      <w:t xml:space="preserve"> </w:t>
    </w:r>
    <w:r w:rsidRPr="006E174E">
      <w:rPr>
        <w:i/>
        <w:color w:val="58595B"/>
        <w:sz w:val="16"/>
      </w:rPr>
      <w:t>Clinical</w:t>
    </w:r>
    <w:r w:rsidRPr="006E174E">
      <w:rPr>
        <w:i/>
        <w:color w:val="58595B"/>
        <w:spacing w:val="-5"/>
        <w:sz w:val="16"/>
      </w:rPr>
      <w:t xml:space="preserve"> </w:t>
    </w:r>
    <w:r w:rsidRPr="006E174E">
      <w:rPr>
        <w:i/>
        <w:color w:val="58595B"/>
        <w:sz w:val="16"/>
      </w:rPr>
      <w:t>and</w:t>
    </w:r>
    <w:r w:rsidRPr="006E174E">
      <w:rPr>
        <w:i/>
        <w:color w:val="58595B"/>
        <w:spacing w:val="-5"/>
        <w:sz w:val="16"/>
      </w:rPr>
      <w:t xml:space="preserve"> </w:t>
    </w:r>
    <w:r w:rsidRPr="006E174E">
      <w:rPr>
        <w:i/>
        <w:color w:val="58595B"/>
        <w:sz w:val="16"/>
      </w:rPr>
      <w:t>Translational</w:t>
    </w:r>
    <w:r w:rsidRPr="006E174E">
      <w:rPr>
        <w:i/>
        <w:color w:val="58595B"/>
        <w:spacing w:val="-5"/>
        <w:sz w:val="16"/>
      </w:rPr>
      <w:t xml:space="preserve"> </w:t>
    </w:r>
    <w:r w:rsidRPr="006E174E">
      <w:rPr>
        <w:i/>
        <w:color w:val="58595B"/>
        <w:sz w:val="16"/>
      </w:rPr>
      <w:t>Science</w:t>
    </w:r>
    <w:r w:rsidRPr="006E174E">
      <w:rPr>
        <w:i/>
        <w:color w:val="58595B"/>
        <w:spacing w:val="-5"/>
        <w:sz w:val="16"/>
      </w:rPr>
      <w:t xml:space="preserve"> </w:t>
    </w:r>
    <w:r w:rsidRPr="006E174E">
      <w:rPr>
        <w:i/>
        <w:color w:val="58595B"/>
        <w:sz w:val="16"/>
      </w:rPr>
      <w:t>Awards</w:t>
    </w:r>
    <w:r w:rsidRPr="006E174E">
      <w:rPr>
        <w:i/>
        <w:color w:val="58595B"/>
        <w:spacing w:val="-5"/>
        <w:sz w:val="16"/>
      </w:rPr>
      <w:t xml:space="preserve"> </w:t>
    </w:r>
    <w:r w:rsidRPr="006E174E">
      <w:rPr>
        <w:i/>
        <w:color w:val="58595B"/>
        <w:sz w:val="16"/>
      </w:rPr>
      <w:t>Program,</w:t>
    </w:r>
    <w:r w:rsidRPr="006E174E">
      <w:rPr>
        <w:i/>
        <w:color w:val="58595B"/>
        <w:spacing w:val="-5"/>
        <w:sz w:val="16"/>
      </w:rPr>
      <w:t xml:space="preserve"> </w:t>
    </w:r>
    <w:r w:rsidRPr="006E174E">
      <w:rPr>
        <w:i/>
        <w:color w:val="58595B"/>
        <w:sz w:val="16"/>
      </w:rPr>
      <w:t>grant</w:t>
    </w:r>
    <w:r w:rsidRPr="006E174E">
      <w:rPr>
        <w:i/>
        <w:color w:val="58595B"/>
        <w:spacing w:val="-4"/>
        <w:sz w:val="16"/>
      </w:rPr>
      <w:t xml:space="preserve"> </w:t>
    </w:r>
    <w:r w:rsidRPr="006E174E">
      <w:rPr>
        <w:i/>
        <w:color w:val="58595B"/>
        <w:sz w:val="16"/>
      </w:rPr>
      <w:t>number</w:t>
    </w:r>
    <w:r w:rsidRPr="006E174E">
      <w:rPr>
        <w:i/>
        <w:color w:val="58595B"/>
        <w:spacing w:val="-5"/>
        <w:sz w:val="16"/>
      </w:rPr>
      <w:t xml:space="preserve"> </w:t>
    </w:r>
    <w:r w:rsidRPr="006E174E">
      <w:rPr>
        <w:i/>
        <w:color w:val="58595B"/>
        <w:sz w:val="16"/>
      </w:rPr>
      <w:t>UL1TR001102-04S1.</w:t>
    </w:r>
  </w:p>
  <w:p w14:paraId="0914CDDD" w14:textId="0C95D906" w:rsidR="00C57D69" w:rsidRPr="006E174E" w:rsidRDefault="00516D70" w:rsidP="002C1E96">
    <w:pPr>
      <w:spacing w:before="4" w:line="244" w:lineRule="auto"/>
      <w:ind w:left="56" w:hanging="37"/>
      <w:rPr>
        <w:i/>
        <w:sz w:val="16"/>
      </w:rPr>
    </w:pPr>
    <w:r>
      <w:rPr>
        <w:i/>
        <w:color w:val="58595B"/>
        <w:sz w:val="16"/>
      </w:rPr>
      <w:t>09-10-2019</w:t>
    </w:r>
  </w:p>
  <w:p w14:paraId="35CD9535" w14:textId="771BA07D" w:rsidR="00EA7EB7" w:rsidRPr="00EA7EB7" w:rsidRDefault="00EA7EB7" w:rsidP="00EA7EB7">
    <w:pPr>
      <w:pStyle w:val="BasicParagraph"/>
      <w:tabs>
        <w:tab w:val="right" w:pos="9360"/>
      </w:tabs>
      <w:rPr>
        <w:rFonts w:ascii="Arial-ItalicMT" w:hAnsi="Arial-ItalicMT" w:cs="Arial-ItalicMT"/>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2A99" w14:textId="77777777" w:rsidR="00830EF3" w:rsidRDefault="00830EF3" w:rsidP="00BE1911">
      <w:pPr>
        <w:spacing w:after="0" w:line="240" w:lineRule="auto"/>
      </w:pPr>
      <w:r>
        <w:separator/>
      </w:r>
    </w:p>
  </w:footnote>
  <w:footnote w:type="continuationSeparator" w:id="0">
    <w:p w14:paraId="7073B095" w14:textId="77777777" w:rsidR="00830EF3" w:rsidRDefault="00830EF3" w:rsidP="00BE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4"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5"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hideGrammatical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50"/>
    <w:rsid w:val="00001A65"/>
    <w:rsid w:val="00002425"/>
    <w:rsid w:val="00002471"/>
    <w:rsid w:val="00002D50"/>
    <w:rsid w:val="000036A4"/>
    <w:rsid w:val="00003B1F"/>
    <w:rsid w:val="00004087"/>
    <w:rsid w:val="00006CD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4187"/>
    <w:rsid w:val="00035467"/>
    <w:rsid w:val="00036913"/>
    <w:rsid w:val="00036CE7"/>
    <w:rsid w:val="00044203"/>
    <w:rsid w:val="00044C27"/>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4BE4"/>
    <w:rsid w:val="000C5739"/>
    <w:rsid w:val="000C57B1"/>
    <w:rsid w:val="000C67CA"/>
    <w:rsid w:val="000C7BB3"/>
    <w:rsid w:val="000D0F9F"/>
    <w:rsid w:val="000D7521"/>
    <w:rsid w:val="000D7F92"/>
    <w:rsid w:val="000E0682"/>
    <w:rsid w:val="000E2226"/>
    <w:rsid w:val="000E34FE"/>
    <w:rsid w:val="000E39B4"/>
    <w:rsid w:val="000E3C4B"/>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4658"/>
    <w:rsid w:val="00146577"/>
    <w:rsid w:val="0014734B"/>
    <w:rsid w:val="00147409"/>
    <w:rsid w:val="00147DAF"/>
    <w:rsid w:val="0015216D"/>
    <w:rsid w:val="00152553"/>
    <w:rsid w:val="001540DF"/>
    <w:rsid w:val="001560B2"/>
    <w:rsid w:val="0015759C"/>
    <w:rsid w:val="00162E29"/>
    <w:rsid w:val="00163685"/>
    <w:rsid w:val="00164833"/>
    <w:rsid w:val="001672B8"/>
    <w:rsid w:val="00167CE6"/>
    <w:rsid w:val="00171389"/>
    <w:rsid w:val="00171AAB"/>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A63"/>
    <w:rsid w:val="001E5C60"/>
    <w:rsid w:val="001F00FA"/>
    <w:rsid w:val="001F084D"/>
    <w:rsid w:val="001F31DC"/>
    <w:rsid w:val="001F3780"/>
    <w:rsid w:val="001F79D6"/>
    <w:rsid w:val="00202366"/>
    <w:rsid w:val="0020256B"/>
    <w:rsid w:val="0020614C"/>
    <w:rsid w:val="00207F59"/>
    <w:rsid w:val="0021007C"/>
    <w:rsid w:val="00212FBE"/>
    <w:rsid w:val="002216F1"/>
    <w:rsid w:val="00221E02"/>
    <w:rsid w:val="0022202D"/>
    <w:rsid w:val="0022784E"/>
    <w:rsid w:val="00231091"/>
    <w:rsid w:val="002352C7"/>
    <w:rsid w:val="0023547D"/>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0F7A"/>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330"/>
    <w:rsid w:val="002C1A7C"/>
    <w:rsid w:val="002C1E96"/>
    <w:rsid w:val="002C2792"/>
    <w:rsid w:val="002C2D8F"/>
    <w:rsid w:val="002C3446"/>
    <w:rsid w:val="002C4689"/>
    <w:rsid w:val="002C7F81"/>
    <w:rsid w:val="002D028D"/>
    <w:rsid w:val="002D186F"/>
    <w:rsid w:val="002D5E19"/>
    <w:rsid w:val="002D624D"/>
    <w:rsid w:val="002E2EB8"/>
    <w:rsid w:val="002E490B"/>
    <w:rsid w:val="002E618E"/>
    <w:rsid w:val="002E6D10"/>
    <w:rsid w:val="002F20A1"/>
    <w:rsid w:val="002F300B"/>
    <w:rsid w:val="002F5C3C"/>
    <w:rsid w:val="002F6B9C"/>
    <w:rsid w:val="0030070B"/>
    <w:rsid w:val="00304E4B"/>
    <w:rsid w:val="00305AD7"/>
    <w:rsid w:val="003100D4"/>
    <w:rsid w:val="00310FA5"/>
    <w:rsid w:val="00311111"/>
    <w:rsid w:val="00315BDF"/>
    <w:rsid w:val="00322313"/>
    <w:rsid w:val="003236F4"/>
    <w:rsid w:val="003267B6"/>
    <w:rsid w:val="003321B6"/>
    <w:rsid w:val="00337116"/>
    <w:rsid w:val="003436CC"/>
    <w:rsid w:val="00344075"/>
    <w:rsid w:val="00347BEE"/>
    <w:rsid w:val="00351122"/>
    <w:rsid w:val="00352023"/>
    <w:rsid w:val="0035590B"/>
    <w:rsid w:val="00355DC9"/>
    <w:rsid w:val="00361057"/>
    <w:rsid w:val="0036223C"/>
    <w:rsid w:val="00363578"/>
    <w:rsid w:val="00363598"/>
    <w:rsid w:val="00364C8B"/>
    <w:rsid w:val="00370CBA"/>
    <w:rsid w:val="003717AF"/>
    <w:rsid w:val="00373528"/>
    <w:rsid w:val="00373BA4"/>
    <w:rsid w:val="00374B6C"/>
    <w:rsid w:val="0037538B"/>
    <w:rsid w:val="0037626B"/>
    <w:rsid w:val="003777F8"/>
    <w:rsid w:val="00380183"/>
    <w:rsid w:val="00381E93"/>
    <w:rsid w:val="00382C8A"/>
    <w:rsid w:val="00382DF3"/>
    <w:rsid w:val="00382FAC"/>
    <w:rsid w:val="003850E7"/>
    <w:rsid w:val="00391E08"/>
    <w:rsid w:val="003922B1"/>
    <w:rsid w:val="00396EB4"/>
    <w:rsid w:val="00397FF7"/>
    <w:rsid w:val="003A0085"/>
    <w:rsid w:val="003A1C1D"/>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143B"/>
    <w:rsid w:val="00482780"/>
    <w:rsid w:val="00483A6A"/>
    <w:rsid w:val="00486619"/>
    <w:rsid w:val="0049203E"/>
    <w:rsid w:val="00494364"/>
    <w:rsid w:val="00495589"/>
    <w:rsid w:val="004A2C80"/>
    <w:rsid w:val="004A33CF"/>
    <w:rsid w:val="004A475A"/>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6D70"/>
    <w:rsid w:val="0051731C"/>
    <w:rsid w:val="00521D5D"/>
    <w:rsid w:val="005252B5"/>
    <w:rsid w:val="00525C8B"/>
    <w:rsid w:val="00527E2B"/>
    <w:rsid w:val="00531E4C"/>
    <w:rsid w:val="00531EF0"/>
    <w:rsid w:val="00532469"/>
    <w:rsid w:val="00532B44"/>
    <w:rsid w:val="00536BF9"/>
    <w:rsid w:val="00537A98"/>
    <w:rsid w:val="00540521"/>
    <w:rsid w:val="0054074D"/>
    <w:rsid w:val="00547AC2"/>
    <w:rsid w:val="00547D34"/>
    <w:rsid w:val="00554B67"/>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17AED"/>
    <w:rsid w:val="0062041B"/>
    <w:rsid w:val="00622112"/>
    <w:rsid w:val="00623107"/>
    <w:rsid w:val="00623DA8"/>
    <w:rsid w:val="00624608"/>
    <w:rsid w:val="00626D91"/>
    <w:rsid w:val="00627C25"/>
    <w:rsid w:val="00630056"/>
    <w:rsid w:val="0063155F"/>
    <w:rsid w:val="0063292B"/>
    <w:rsid w:val="00633141"/>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03F0"/>
    <w:rsid w:val="00751EC4"/>
    <w:rsid w:val="00752D49"/>
    <w:rsid w:val="007535BA"/>
    <w:rsid w:val="00754132"/>
    <w:rsid w:val="00754517"/>
    <w:rsid w:val="00754796"/>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94461"/>
    <w:rsid w:val="007953D6"/>
    <w:rsid w:val="00795B3C"/>
    <w:rsid w:val="007966DF"/>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5E69"/>
    <w:rsid w:val="008073D1"/>
    <w:rsid w:val="0081075C"/>
    <w:rsid w:val="00811F0B"/>
    <w:rsid w:val="0081225F"/>
    <w:rsid w:val="008137E8"/>
    <w:rsid w:val="00814407"/>
    <w:rsid w:val="0081458D"/>
    <w:rsid w:val="00814AE5"/>
    <w:rsid w:val="00814FAA"/>
    <w:rsid w:val="008178F9"/>
    <w:rsid w:val="008214B8"/>
    <w:rsid w:val="008218A2"/>
    <w:rsid w:val="00830EF3"/>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353D"/>
    <w:rsid w:val="008E7ABA"/>
    <w:rsid w:val="008F4A46"/>
    <w:rsid w:val="008F5C0F"/>
    <w:rsid w:val="008F5F7D"/>
    <w:rsid w:val="008F6401"/>
    <w:rsid w:val="008F6CF4"/>
    <w:rsid w:val="00900895"/>
    <w:rsid w:val="00900E18"/>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1C5C"/>
    <w:rsid w:val="009758E8"/>
    <w:rsid w:val="009777A7"/>
    <w:rsid w:val="0098099B"/>
    <w:rsid w:val="00980DC8"/>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02D65"/>
    <w:rsid w:val="00A117CD"/>
    <w:rsid w:val="00A11DDE"/>
    <w:rsid w:val="00A12BAB"/>
    <w:rsid w:val="00A13E73"/>
    <w:rsid w:val="00A1667E"/>
    <w:rsid w:val="00A177D8"/>
    <w:rsid w:val="00A20030"/>
    <w:rsid w:val="00A20697"/>
    <w:rsid w:val="00A210C4"/>
    <w:rsid w:val="00A24988"/>
    <w:rsid w:val="00A24A54"/>
    <w:rsid w:val="00A260AD"/>
    <w:rsid w:val="00A30CC5"/>
    <w:rsid w:val="00A311CF"/>
    <w:rsid w:val="00A3206E"/>
    <w:rsid w:val="00A33919"/>
    <w:rsid w:val="00A33952"/>
    <w:rsid w:val="00A3399C"/>
    <w:rsid w:val="00A34FB5"/>
    <w:rsid w:val="00A357D9"/>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AF7E71"/>
    <w:rsid w:val="00B0048C"/>
    <w:rsid w:val="00B027A2"/>
    <w:rsid w:val="00B05364"/>
    <w:rsid w:val="00B06393"/>
    <w:rsid w:val="00B07565"/>
    <w:rsid w:val="00B10561"/>
    <w:rsid w:val="00B14A5C"/>
    <w:rsid w:val="00B14B22"/>
    <w:rsid w:val="00B170C7"/>
    <w:rsid w:val="00B17944"/>
    <w:rsid w:val="00B22323"/>
    <w:rsid w:val="00B24246"/>
    <w:rsid w:val="00B24603"/>
    <w:rsid w:val="00B255E8"/>
    <w:rsid w:val="00B26536"/>
    <w:rsid w:val="00B30A24"/>
    <w:rsid w:val="00B3115E"/>
    <w:rsid w:val="00B31C26"/>
    <w:rsid w:val="00B3217A"/>
    <w:rsid w:val="00B32DDE"/>
    <w:rsid w:val="00B33547"/>
    <w:rsid w:val="00B336EF"/>
    <w:rsid w:val="00B34BA4"/>
    <w:rsid w:val="00B34E03"/>
    <w:rsid w:val="00B34F5D"/>
    <w:rsid w:val="00B37FD8"/>
    <w:rsid w:val="00B403CF"/>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43C7"/>
    <w:rsid w:val="00BA1AE6"/>
    <w:rsid w:val="00BA5CD5"/>
    <w:rsid w:val="00BA7766"/>
    <w:rsid w:val="00BA7BFC"/>
    <w:rsid w:val="00BB095D"/>
    <w:rsid w:val="00BB0BB8"/>
    <w:rsid w:val="00BB0EE2"/>
    <w:rsid w:val="00BB11F5"/>
    <w:rsid w:val="00BB1BAA"/>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17E6"/>
    <w:rsid w:val="00C025DD"/>
    <w:rsid w:val="00C031AF"/>
    <w:rsid w:val="00C03602"/>
    <w:rsid w:val="00C04587"/>
    <w:rsid w:val="00C04E42"/>
    <w:rsid w:val="00C058A2"/>
    <w:rsid w:val="00C06701"/>
    <w:rsid w:val="00C073AE"/>
    <w:rsid w:val="00C107BF"/>
    <w:rsid w:val="00C10D8A"/>
    <w:rsid w:val="00C1557E"/>
    <w:rsid w:val="00C16870"/>
    <w:rsid w:val="00C200AB"/>
    <w:rsid w:val="00C21D5A"/>
    <w:rsid w:val="00C301C0"/>
    <w:rsid w:val="00C33016"/>
    <w:rsid w:val="00C337AE"/>
    <w:rsid w:val="00C34F1F"/>
    <w:rsid w:val="00C36931"/>
    <w:rsid w:val="00C404E3"/>
    <w:rsid w:val="00C40D54"/>
    <w:rsid w:val="00C448F3"/>
    <w:rsid w:val="00C4544D"/>
    <w:rsid w:val="00C45E65"/>
    <w:rsid w:val="00C460BA"/>
    <w:rsid w:val="00C46B9B"/>
    <w:rsid w:val="00C47152"/>
    <w:rsid w:val="00C47DC9"/>
    <w:rsid w:val="00C50754"/>
    <w:rsid w:val="00C51180"/>
    <w:rsid w:val="00C51EAE"/>
    <w:rsid w:val="00C52A03"/>
    <w:rsid w:val="00C52DC1"/>
    <w:rsid w:val="00C5523A"/>
    <w:rsid w:val="00C57D69"/>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1A2E"/>
    <w:rsid w:val="00C9265C"/>
    <w:rsid w:val="00C92EA3"/>
    <w:rsid w:val="00C933F8"/>
    <w:rsid w:val="00C9510A"/>
    <w:rsid w:val="00C96CD1"/>
    <w:rsid w:val="00CA39B6"/>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4093"/>
    <w:rsid w:val="00D84202"/>
    <w:rsid w:val="00D84814"/>
    <w:rsid w:val="00D87ADA"/>
    <w:rsid w:val="00D936BA"/>
    <w:rsid w:val="00D94F9C"/>
    <w:rsid w:val="00D95535"/>
    <w:rsid w:val="00D96DD2"/>
    <w:rsid w:val="00D9751B"/>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04FD"/>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1801"/>
    <w:rsid w:val="00F34CCF"/>
    <w:rsid w:val="00F3621F"/>
    <w:rsid w:val="00F37002"/>
    <w:rsid w:val="00F414EB"/>
    <w:rsid w:val="00F423A3"/>
    <w:rsid w:val="00F4367D"/>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2F76"/>
    <w:rsid w:val="00F83366"/>
    <w:rsid w:val="00F840F4"/>
    <w:rsid w:val="00F855F1"/>
    <w:rsid w:val="00F8618F"/>
    <w:rsid w:val="00F9073C"/>
    <w:rsid w:val="00F92CBB"/>
    <w:rsid w:val="00F9319D"/>
    <w:rsid w:val="00F93582"/>
    <w:rsid w:val="00F952F4"/>
    <w:rsid w:val="00F9662C"/>
    <w:rsid w:val="00F96C22"/>
    <w:rsid w:val="00F9761C"/>
    <w:rsid w:val="00FA6491"/>
    <w:rsid w:val="00FB0813"/>
    <w:rsid w:val="00FB1577"/>
    <w:rsid w:val="00FB2DEC"/>
    <w:rsid w:val="00FB3286"/>
    <w:rsid w:val="00FC186C"/>
    <w:rsid w:val="00FC1899"/>
    <w:rsid w:val="00FC1D4D"/>
    <w:rsid w:val="00FC67C6"/>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75ED"/>
  <w15:docId w15:val="{DBF62249-394D-4232-A6CA-DFBE76C6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irb.org/sites/default/files/SMART_IRB_SOP-090816.pdf" TargetMode="External"/><Relationship Id="rId3" Type="http://schemas.openxmlformats.org/officeDocument/2006/relationships/settings" Target="settings.xml"/><Relationship Id="rId7" Type="http://schemas.openxmlformats.org/officeDocument/2006/relationships/hyperlink" Target="https://smartirb.org/sites/default/files/SMART_IRB_SOP-0908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Nichelle L. Cobb</dc:creator>
  <cp:lastModifiedBy>Blalock, Cheryl L</cp:lastModifiedBy>
  <cp:revision>3</cp:revision>
  <cp:lastPrinted>2018-02-16T20:29:00Z</cp:lastPrinted>
  <dcterms:created xsi:type="dcterms:W3CDTF">2019-09-30T19:58:00Z</dcterms:created>
  <dcterms:modified xsi:type="dcterms:W3CDTF">2020-11-18T16:40:00Z</dcterms:modified>
</cp:coreProperties>
</file>